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90" w:rsidRPr="00963C90" w:rsidRDefault="00C5789C" w:rsidP="00A56B71">
      <w:pPr>
        <w:spacing w:after="0"/>
        <w:rPr>
          <w:rFonts w:ascii="Tahoma" w:hAnsi="Tahoma" w:cs="Tahoma"/>
          <w:b/>
        </w:rPr>
      </w:pPr>
      <w:r>
        <w:rPr>
          <w:rFonts w:ascii="Tahoma" w:hAnsi="Tahoma" w:cs="Tahoma"/>
          <w:b/>
          <w:noProof/>
        </w:rPr>
        <w:pict>
          <v:shapetype id="_x0000_t202" coordsize="21600,21600" o:spt="202" path="m,l,21600r21600,l21600,xe">
            <v:stroke joinstyle="miter"/>
            <v:path gradientshapeok="t" o:connecttype="rect"/>
          </v:shapetype>
          <v:shape id="Text Box 3" o:spid="_x0000_s1026" type="#_x0000_t202" style="position:absolute;margin-left:-61.65pt;margin-top:-6.3pt;width:346.6pt;height: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bItwIAALs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" filled="f" stroked="f">
            <v:textbox>
              <w:txbxContent>
                <w:p w:rsidR="009A5912" w:rsidRPr="002A140C" w:rsidRDefault="009A5912">
                  <w:pPr>
                    <w:rPr>
                      <w:rFonts w:ascii="Tahoma" w:hAnsi="Tahoma" w:cs="Tahoma"/>
                      <w:b/>
                      <w:sz w:val="48"/>
                      <w:szCs w:val="48"/>
                    </w:rPr>
                  </w:pPr>
                  <w:r>
                    <w:rPr>
                      <w:rFonts w:ascii="Tahoma" w:hAnsi="Tahoma" w:cs="Tahoma"/>
                      <w:b/>
                      <w:sz w:val="48"/>
                      <w:szCs w:val="48"/>
                    </w:rPr>
                    <w:t>POLÍ</w:t>
                  </w:r>
                  <w:r w:rsidRPr="00310447">
                    <w:rPr>
                      <w:rFonts w:ascii="Tahoma" w:hAnsi="Tahoma" w:cs="Tahoma"/>
                      <w:b/>
                      <w:sz w:val="48"/>
                      <w:szCs w:val="48"/>
                    </w:rPr>
                    <w:t>TIC</w:t>
                  </w:r>
                  <w:r>
                    <w:rPr>
                      <w:rFonts w:ascii="Tahoma" w:hAnsi="Tahoma" w:cs="Tahoma"/>
                      <w:b/>
                      <w:sz w:val="48"/>
                      <w:szCs w:val="48"/>
                    </w:rPr>
                    <w:t>A DE INVESTIMENTOS 2019</w:t>
                  </w:r>
                </w:p>
              </w:txbxContent>
            </v:textbox>
          </v:shape>
        </w:pict>
      </w:r>
    </w:p>
    <w:p w:rsidR="00963C90" w:rsidRPr="00963C90" w:rsidRDefault="00963C90" w:rsidP="00A56B71">
      <w:pPr>
        <w:spacing w:after="0"/>
        <w:rPr>
          <w:rFonts w:ascii="Tahoma" w:hAnsi="Tahoma" w:cs="Tahoma"/>
          <w:b/>
        </w:rPr>
      </w:pPr>
    </w:p>
    <w:p w:rsidR="00963C90" w:rsidRPr="00963C90" w:rsidRDefault="00963C90" w:rsidP="00A56B71">
      <w:pPr>
        <w:spacing w:after="0"/>
        <w:rPr>
          <w:rFonts w:ascii="Tahoma" w:hAnsi="Tahoma" w:cs="Tahoma"/>
          <w:b/>
        </w:rPr>
      </w:pPr>
    </w:p>
    <w:p w:rsidR="00963C90" w:rsidRPr="00963C90" w:rsidRDefault="00963C90" w:rsidP="00A56B71">
      <w:pPr>
        <w:spacing w:after="0"/>
        <w:rPr>
          <w:rFonts w:ascii="Tahoma" w:hAnsi="Tahoma" w:cs="Tahoma"/>
          <w:b/>
        </w:rPr>
      </w:pPr>
    </w:p>
    <w:p w:rsidR="00963C90" w:rsidRPr="00963C90" w:rsidRDefault="00963C90" w:rsidP="00A56B71">
      <w:pPr>
        <w:spacing w:after="0"/>
        <w:rPr>
          <w:rFonts w:ascii="Tahoma" w:hAnsi="Tahoma" w:cs="Tahoma"/>
          <w:b/>
        </w:rPr>
      </w:pPr>
    </w:p>
    <w:p w:rsidR="00963C90" w:rsidRPr="00963C90" w:rsidRDefault="00963C90" w:rsidP="00A56B71">
      <w:pPr>
        <w:spacing w:after="0"/>
        <w:rPr>
          <w:rFonts w:ascii="Tahoma" w:hAnsi="Tahoma" w:cs="Tahoma"/>
          <w:b/>
        </w:rPr>
      </w:pPr>
    </w:p>
    <w:p w:rsidR="00963C90" w:rsidRDefault="00963C90" w:rsidP="00A56B71">
      <w:pPr>
        <w:spacing w:after="0"/>
        <w:rPr>
          <w:rFonts w:ascii="Tahoma" w:hAnsi="Tahoma" w:cs="Tahoma"/>
          <w:b/>
        </w:rPr>
      </w:pPr>
    </w:p>
    <w:p w:rsidR="00963C90" w:rsidRDefault="00963C90" w:rsidP="00A56B71">
      <w:pPr>
        <w:spacing w:after="0"/>
        <w:rPr>
          <w:rFonts w:ascii="Tahoma" w:hAnsi="Tahoma" w:cs="Tahoma"/>
          <w:b/>
        </w:rPr>
      </w:pPr>
    </w:p>
    <w:p w:rsidR="00963C90" w:rsidRDefault="00963C90" w:rsidP="00A56B71">
      <w:pPr>
        <w:spacing w:after="0"/>
        <w:rPr>
          <w:rFonts w:ascii="Tahoma" w:hAnsi="Tahoma" w:cs="Tahoma"/>
          <w:b/>
        </w:rPr>
      </w:pPr>
    </w:p>
    <w:p w:rsidR="008E3819" w:rsidRDefault="008E3819" w:rsidP="00A56B71">
      <w:pPr>
        <w:spacing w:after="0"/>
        <w:rPr>
          <w:rFonts w:ascii="Tahoma" w:hAnsi="Tahoma" w:cs="Tahoma"/>
          <w:b/>
        </w:rPr>
      </w:pPr>
    </w:p>
    <w:p w:rsidR="00963C90" w:rsidRPr="00963C90" w:rsidRDefault="00963C90" w:rsidP="00A56B71">
      <w:pPr>
        <w:spacing w:after="0"/>
        <w:rPr>
          <w:rFonts w:ascii="Tahoma" w:hAnsi="Tahoma" w:cs="Tahoma"/>
          <w:b/>
        </w:rPr>
      </w:pPr>
    </w:p>
    <w:p w:rsidR="00D867EC" w:rsidRPr="000E119C" w:rsidRDefault="00D867EC" w:rsidP="00D867EC">
      <w:pPr>
        <w:spacing w:after="0"/>
        <w:ind w:left="708"/>
        <w:rPr>
          <w:rFonts w:ascii="Tahoma" w:hAnsi="Tahoma" w:cs="Tahoma"/>
          <w:b/>
          <w:color w:val="002060"/>
          <w:sz w:val="28"/>
          <w:szCs w:val="30"/>
        </w:rPr>
      </w:pPr>
      <w:r w:rsidRPr="000E119C">
        <w:rPr>
          <w:sz w:val="28"/>
          <w:szCs w:val="30"/>
        </w:rPr>
        <w:object w:dxaOrig="2425" w:dyaOrig="2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8" o:title=""/>
          </v:shape>
          <o:OLEObject Type="Embed" ProgID="CorelDRAW.Graphic.13" ShapeID="_x0000_i1025" DrawAspect="Content" ObjectID="_1608620648" r:id="rId9"/>
        </w:object>
      </w:r>
      <w:r w:rsidRPr="000E119C">
        <w:rPr>
          <w:rFonts w:ascii="Tahoma" w:hAnsi="Tahoma" w:cs="Tahoma"/>
          <w:b/>
          <w:color w:val="002060"/>
          <w:sz w:val="28"/>
          <w:szCs w:val="30"/>
        </w:rPr>
        <w:t>POLÍTICA DE INVESTIMENTOS 201</w:t>
      </w:r>
      <w:r w:rsidR="00564AED">
        <w:rPr>
          <w:rFonts w:ascii="Tahoma" w:hAnsi="Tahoma" w:cs="Tahoma"/>
          <w:b/>
          <w:color w:val="002060"/>
          <w:sz w:val="28"/>
          <w:szCs w:val="30"/>
        </w:rPr>
        <w:t>9</w:t>
      </w:r>
      <w:r w:rsidRPr="000E119C">
        <w:rPr>
          <w:sz w:val="28"/>
          <w:szCs w:val="30"/>
        </w:rPr>
        <w:object w:dxaOrig="3163" w:dyaOrig="3187">
          <v:shape id="_x0000_i1026" type="#_x0000_t75" style="width:21.75pt;height:21.75pt" o:ole="">
            <v:imagedata r:id="rId10" o:title=""/>
          </v:shape>
          <o:OLEObject Type="Embed" ProgID="CorelDRAW.Graphic.13" ShapeID="_x0000_i1026" DrawAspect="Content" ObjectID="_1608620649" r:id="rId11"/>
        </w:object>
      </w:r>
    </w:p>
    <w:p w:rsidR="00A56B71" w:rsidRDefault="00A56B71" w:rsidP="00336AA3">
      <w:pPr>
        <w:spacing w:after="0"/>
        <w:jc w:val="both"/>
        <w:rPr>
          <w:rFonts w:ascii="Tahoma" w:hAnsi="Tahoma" w:cs="Tahoma"/>
        </w:rPr>
      </w:pPr>
    </w:p>
    <w:p w:rsidR="00EF1E48" w:rsidRDefault="004246D6" w:rsidP="00180805">
      <w:pPr>
        <w:spacing w:before="120" w:after="0" w:line="240" w:lineRule="auto"/>
        <w:ind w:left="2268"/>
        <w:jc w:val="both"/>
        <w:rPr>
          <w:rFonts w:ascii="Tahoma" w:hAnsi="Tahoma" w:cs="Tahoma"/>
          <w:sz w:val="18"/>
          <w:szCs w:val="18"/>
        </w:rPr>
      </w:pPr>
      <w:r w:rsidRPr="00180805">
        <w:rPr>
          <w:rFonts w:ascii="Tahoma" w:hAnsi="Tahoma" w:cs="Tahoma"/>
          <w:sz w:val="18"/>
          <w:szCs w:val="18"/>
        </w:rPr>
        <w:t>Os responsáveis pela gestão do regime próprio de previdência social, antes do exercício a que se referir, deverão definir a política anual de aplicação dos recursos, isto é, a Política de Investimentos. Este documento</w:t>
      </w:r>
      <w:r w:rsidR="00F939EC" w:rsidRPr="00180805">
        <w:rPr>
          <w:rFonts w:ascii="Tahoma" w:hAnsi="Tahoma" w:cs="Tahoma"/>
          <w:sz w:val="18"/>
          <w:szCs w:val="18"/>
        </w:rPr>
        <w:t>estabelece</w:t>
      </w:r>
      <w:r w:rsidR="00336AA3" w:rsidRPr="00180805">
        <w:rPr>
          <w:rFonts w:ascii="Tahoma" w:hAnsi="Tahoma" w:cs="Tahoma"/>
          <w:sz w:val="18"/>
          <w:szCs w:val="18"/>
        </w:rPr>
        <w:t xml:space="preserve"> o processo de investimento, ajudando o investidor a entender suas necessidades </w:t>
      </w:r>
      <w:r w:rsidR="00380DC9">
        <w:rPr>
          <w:rFonts w:ascii="Tahoma" w:hAnsi="Tahoma" w:cs="Tahoma"/>
          <w:sz w:val="18"/>
          <w:szCs w:val="18"/>
        </w:rPr>
        <w:t>específicas</w:t>
      </w:r>
      <w:r w:rsidR="00336AA3" w:rsidRPr="00180805">
        <w:rPr>
          <w:rFonts w:ascii="Tahoma" w:hAnsi="Tahoma" w:cs="Tahoma"/>
          <w:sz w:val="18"/>
          <w:szCs w:val="18"/>
        </w:rPr>
        <w:t>, e aumentando a probabilidade de decisões adequadas ao seu perfil de investidor.</w:t>
      </w:r>
    </w:p>
    <w:p w:rsidR="002D368F" w:rsidRDefault="002D368F" w:rsidP="002D368F">
      <w:pPr>
        <w:spacing w:before="120" w:after="0" w:line="240" w:lineRule="auto"/>
        <w:ind w:left="2268"/>
        <w:jc w:val="both"/>
        <w:rPr>
          <w:rFonts w:ascii="Tahoma" w:hAnsi="Tahoma" w:cs="Tahoma"/>
          <w:sz w:val="18"/>
          <w:szCs w:val="18"/>
        </w:rPr>
      </w:pPr>
      <w:r w:rsidRPr="005C19FC">
        <w:rPr>
          <w:rFonts w:ascii="Tahoma" w:hAnsi="Tahoma" w:cs="Tahoma"/>
          <w:sz w:val="18"/>
          <w:szCs w:val="18"/>
        </w:rPr>
        <w:t>A elaboração desta Política de Investimentos representa uma formalidade legal que fundamenta e norteia todo o processo de tomada de decisão relativo aos investimentos do RPPS, empregada como instrumento necessário para garantir a consistência da gestão dos recursos em busca do equilíbrio econômico-financeiro.</w:t>
      </w:r>
    </w:p>
    <w:p w:rsidR="00EA7EB6" w:rsidRPr="005C19FC" w:rsidRDefault="00EA7EB6" w:rsidP="002D368F">
      <w:pPr>
        <w:spacing w:before="120" w:after="0" w:line="240" w:lineRule="auto"/>
        <w:ind w:left="2268"/>
        <w:jc w:val="both"/>
        <w:rPr>
          <w:rFonts w:ascii="Tahoma" w:hAnsi="Tahoma" w:cs="Tahoma"/>
          <w:sz w:val="18"/>
          <w:szCs w:val="18"/>
        </w:rPr>
      </w:pPr>
      <w:r>
        <w:rPr>
          <w:rFonts w:ascii="Tahoma" w:hAnsi="Tahoma" w:cs="Tahoma"/>
          <w:sz w:val="18"/>
          <w:szCs w:val="18"/>
        </w:rPr>
        <w:t>A presente Política estabelece os princípios e diretrizes que devem reger os investimentos dos recursos conferidos a entidade, com vistas a promover a segurança, liquidez e rentabilidade necessária para complementar o equilíbrio entre o</w:t>
      </w:r>
      <w:r w:rsidR="00621757">
        <w:rPr>
          <w:rFonts w:ascii="Tahoma" w:hAnsi="Tahoma" w:cs="Tahoma"/>
          <w:sz w:val="18"/>
          <w:szCs w:val="18"/>
        </w:rPr>
        <w:t>s</w:t>
      </w:r>
      <w:r>
        <w:rPr>
          <w:rFonts w:ascii="Tahoma" w:hAnsi="Tahoma" w:cs="Tahoma"/>
          <w:sz w:val="18"/>
          <w:szCs w:val="18"/>
        </w:rPr>
        <w:t xml:space="preserve"> ativo</w:t>
      </w:r>
      <w:r w:rsidR="00621757">
        <w:rPr>
          <w:rFonts w:ascii="Tahoma" w:hAnsi="Tahoma" w:cs="Tahoma"/>
          <w:sz w:val="18"/>
          <w:szCs w:val="18"/>
        </w:rPr>
        <w:t>s</w:t>
      </w:r>
      <w:r>
        <w:rPr>
          <w:rFonts w:ascii="Tahoma" w:hAnsi="Tahoma" w:cs="Tahoma"/>
          <w:sz w:val="18"/>
          <w:szCs w:val="18"/>
        </w:rPr>
        <w:t xml:space="preserve"> e passivos do plano de Benefícios.</w:t>
      </w:r>
    </w:p>
    <w:p w:rsidR="001E78B7" w:rsidRDefault="00336AA3" w:rsidP="00180805">
      <w:pPr>
        <w:spacing w:before="120" w:after="0" w:line="240" w:lineRule="auto"/>
        <w:ind w:left="2268"/>
        <w:jc w:val="both"/>
        <w:rPr>
          <w:rFonts w:ascii="Tahoma" w:hAnsi="Tahoma" w:cs="Tahoma"/>
          <w:sz w:val="18"/>
          <w:szCs w:val="18"/>
        </w:rPr>
      </w:pPr>
      <w:r w:rsidRPr="00180805">
        <w:rPr>
          <w:rFonts w:ascii="Tahoma" w:hAnsi="Tahoma" w:cs="Tahoma"/>
          <w:sz w:val="18"/>
          <w:szCs w:val="18"/>
        </w:rPr>
        <w:t>A Política de Investimentos</w:t>
      </w:r>
      <w:r w:rsidR="00D343EB">
        <w:rPr>
          <w:rFonts w:ascii="Tahoma" w:hAnsi="Tahoma" w:cs="Tahoma"/>
          <w:sz w:val="18"/>
          <w:szCs w:val="18"/>
        </w:rPr>
        <w:t xml:space="preserve"> do RPPS </w:t>
      </w:r>
      <w:r w:rsidR="00180805" w:rsidRPr="00180805">
        <w:rPr>
          <w:rFonts w:ascii="Tahoma" w:hAnsi="Tahoma" w:cs="Tahoma"/>
          <w:sz w:val="18"/>
          <w:szCs w:val="18"/>
        </w:rPr>
        <w:t>deve</w:t>
      </w:r>
      <w:r w:rsidRPr="00180805">
        <w:rPr>
          <w:rFonts w:ascii="Tahoma" w:hAnsi="Tahoma" w:cs="Tahoma"/>
          <w:sz w:val="18"/>
          <w:szCs w:val="18"/>
        </w:rPr>
        <w:t xml:space="preserve"> ser constituída </w:t>
      </w:r>
      <w:r w:rsidR="00D343EB">
        <w:rPr>
          <w:rFonts w:ascii="Tahoma" w:hAnsi="Tahoma" w:cs="Tahoma"/>
          <w:sz w:val="18"/>
          <w:szCs w:val="18"/>
        </w:rPr>
        <w:t>pelos</w:t>
      </w:r>
      <w:r w:rsidRPr="00180805">
        <w:rPr>
          <w:rFonts w:ascii="Tahoma" w:hAnsi="Tahoma" w:cs="Tahoma"/>
          <w:sz w:val="18"/>
          <w:szCs w:val="18"/>
        </w:rPr>
        <w:t xml:space="preserve"> seguintes elementos básicos: </w:t>
      </w:r>
      <w:r w:rsidR="00F939EC" w:rsidRPr="00180805">
        <w:rPr>
          <w:rFonts w:ascii="Tahoma" w:hAnsi="Tahoma" w:cs="Tahoma"/>
          <w:sz w:val="18"/>
          <w:szCs w:val="18"/>
        </w:rPr>
        <w:t xml:space="preserve">o modelo de gestão a ser adotado e, se for o caso, os critérios para a contratação de pessoas jurídicas autorizadas nos termos da legislação em vigor para o exercício profissional de administração de carteiras; a estratégia de alocação dos recursos entre os diversos segmentos de aplicação e as respectivas carteiras de investimentos; os parâmetros de rentabilidade perseguidos, que deverão buscar compatibilidade com o perfil de suas obrigações, tendo em vista a necessidade de busca e manutenção do equilíbrio financeiro e atuarial e os limites de diversificação e concentração previstos </w:t>
      </w:r>
      <w:r w:rsidR="00180805" w:rsidRPr="00180805">
        <w:rPr>
          <w:rFonts w:ascii="Tahoma" w:hAnsi="Tahoma" w:cs="Tahoma"/>
          <w:sz w:val="18"/>
          <w:szCs w:val="18"/>
        </w:rPr>
        <w:t>na legislação</w:t>
      </w:r>
      <w:r w:rsidR="00F939EC" w:rsidRPr="00180805">
        <w:rPr>
          <w:rFonts w:ascii="Tahoma" w:hAnsi="Tahoma" w:cs="Tahoma"/>
          <w:sz w:val="18"/>
          <w:szCs w:val="18"/>
        </w:rPr>
        <w:t>; e os limites utilizados para investimentos em títulos e valores mobiliários de emissão ou coobrigaçã</w:t>
      </w:r>
      <w:r w:rsidR="00692863" w:rsidRPr="00180805">
        <w:rPr>
          <w:rFonts w:ascii="Tahoma" w:hAnsi="Tahoma" w:cs="Tahoma"/>
          <w:sz w:val="18"/>
          <w:szCs w:val="18"/>
        </w:rPr>
        <w:t>o de uma mesma pessoa jurídica</w:t>
      </w:r>
      <w:r w:rsidR="00180805" w:rsidRPr="00180805">
        <w:rPr>
          <w:rFonts w:ascii="Tahoma" w:hAnsi="Tahoma" w:cs="Tahoma"/>
          <w:sz w:val="18"/>
          <w:szCs w:val="18"/>
        </w:rPr>
        <w:t xml:space="preserve"> - </w:t>
      </w:r>
      <w:r w:rsidR="001E78B7" w:rsidRPr="001E78B7">
        <w:rPr>
          <w:rFonts w:ascii="Tahoma" w:hAnsi="Tahoma" w:cs="Tahoma"/>
          <w:b/>
          <w:sz w:val="18"/>
          <w:szCs w:val="18"/>
        </w:rPr>
        <w:t>Art. 4º, Subseção II Resolução CMN 3.922/2010 e com as novas alterações descritas na resolução 4.604/2017</w:t>
      </w:r>
      <w:r w:rsidR="001E78B7" w:rsidRPr="001E78B7">
        <w:rPr>
          <w:rFonts w:ascii="Tahoma" w:hAnsi="Tahoma" w:cs="Tahoma"/>
          <w:sz w:val="18"/>
          <w:szCs w:val="18"/>
        </w:rPr>
        <w:t>.</w:t>
      </w:r>
    </w:p>
    <w:p w:rsidR="00336AA3" w:rsidRPr="00180805" w:rsidRDefault="00180805" w:rsidP="00180805">
      <w:pPr>
        <w:spacing w:before="120" w:after="0" w:line="240" w:lineRule="auto"/>
        <w:ind w:left="2268"/>
        <w:jc w:val="both"/>
        <w:rPr>
          <w:rFonts w:ascii="Tahoma" w:hAnsi="Tahoma" w:cs="Tahoma"/>
          <w:sz w:val="18"/>
          <w:szCs w:val="18"/>
        </w:rPr>
      </w:pPr>
      <w:r w:rsidRPr="00180805">
        <w:rPr>
          <w:rFonts w:ascii="Tahoma" w:hAnsi="Tahoma" w:cs="Tahoma"/>
          <w:sz w:val="18"/>
          <w:szCs w:val="18"/>
        </w:rPr>
        <w:t xml:space="preserve">Sinteticamente, a Política de Investimentos demonstra os </w:t>
      </w:r>
      <w:r w:rsidR="00F939EC" w:rsidRPr="00180805">
        <w:rPr>
          <w:rFonts w:ascii="Tahoma" w:hAnsi="Tahoma" w:cs="Tahoma"/>
          <w:sz w:val="18"/>
          <w:szCs w:val="18"/>
        </w:rPr>
        <w:t>o</w:t>
      </w:r>
      <w:r w:rsidR="00336AA3" w:rsidRPr="00180805">
        <w:rPr>
          <w:rFonts w:ascii="Tahoma" w:hAnsi="Tahoma" w:cs="Tahoma"/>
          <w:sz w:val="18"/>
          <w:szCs w:val="18"/>
        </w:rPr>
        <w:t>bjetivos de retorno</w:t>
      </w:r>
      <w:r w:rsidR="00EF1E48" w:rsidRPr="00180805">
        <w:rPr>
          <w:rFonts w:ascii="Tahoma" w:hAnsi="Tahoma" w:cs="Tahoma"/>
          <w:sz w:val="18"/>
          <w:szCs w:val="18"/>
        </w:rPr>
        <w:t>, a</w:t>
      </w:r>
      <w:r w:rsidR="00336AA3" w:rsidRPr="00180805">
        <w:rPr>
          <w:rFonts w:ascii="Tahoma" w:hAnsi="Tahoma" w:cs="Tahoma"/>
          <w:sz w:val="18"/>
          <w:szCs w:val="18"/>
        </w:rPr>
        <w:t>versão a risco</w:t>
      </w:r>
      <w:r w:rsidRPr="00180805">
        <w:rPr>
          <w:rFonts w:ascii="Tahoma" w:hAnsi="Tahoma" w:cs="Tahoma"/>
          <w:sz w:val="18"/>
          <w:szCs w:val="18"/>
        </w:rPr>
        <w:t xml:space="preserve"> e </w:t>
      </w:r>
      <w:r w:rsidR="00EF1E48" w:rsidRPr="00180805">
        <w:rPr>
          <w:rFonts w:ascii="Tahoma" w:hAnsi="Tahoma" w:cs="Tahoma"/>
          <w:sz w:val="18"/>
          <w:szCs w:val="18"/>
        </w:rPr>
        <w:t>r</w:t>
      </w:r>
      <w:r w:rsidR="00336AA3" w:rsidRPr="00180805">
        <w:rPr>
          <w:rFonts w:ascii="Tahoma" w:hAnsi="Tahoma" w:cs="Tahoma"/>
          <w:sz w:val="18"/>
          <w:szCs w:val="18"/>
        </w:rPr>
        <w:t>estrições</w:t>
      </w:r>
      <w:r w:rsidR="00EF1E48" w:rsidRPr="00180805">
        <w:rPr>
          <w:rFonts w:ascii="Tahoma" w:hAnsi="Tahoma" w:cs="Tahoma"/>
          <w:sz w:val="18"/>
          <w:szCs w:val="18"/>
        </w:rPr>
        <w:t>.</w:t>
      </w:r>
      <w:r w:rsidRPr="00180805">
        <w:rPr>
          <w:rFonts w:ascii="Tahoma" w:hAnsi="Tahoma" w:cs="Tahoma"/>
          <w:sz w:val="18"/>
          <w:szCs w:val="18"/>
        </w:rPr>
        <w:t>O r</w:t>
      </w:r>
      <w:r w:rsidR="00336AA3" w:rsidRPr="00180805">
        <w:rPr>
          <w:rFonts w:ascii="Tahoma" w:hAnsi="Tahoma" w:cs="Tahoma"/>
          <w:sz w:val="18"/>
          <w:szCs w:val="18"/>
        </w:rPr>
        <w:t>etorno está diretamente correlacionado com o risco</w:t>
      </w:r>
      <w:r w:rsidR="00EF1E48" w:rsidRPr="00180805">
        <w:rPr>
          <w:rFonts w:ascii="Tahoma" w:hAnsi="Tahoma" w:cs="Tahoma"/>
          <w:sz w:val="18"/>
          <w:szCs w:val="18"/>
        </w:rPr>
        <w:t>.</w:t>
      </w:r>
      <w:r w:rsidRPr="00180805">
        <w:rPr>
          <w:rFonts w:ascii="Tahoma" w:hAnsi="Tahoma" w:cs="Tahoma"/>
          <w:sz w:val="18"/>
          <w:szCs w:val="18"/>
        </w:rPr>
        <w:t>Por isso, d</w:t>
      </w:r>
      <w:r w:rsidR="00336AA3" w:rsidRPr="00180805">
        <w:rPr>
          <w:rFonts w:ascii="Tahoma" w:hAnsi="Tahoma" w:cs="Tahoma"/>
          <w:sz w:val="18"/>
          <w:szCs w:val="18"/>
        </w:rPr>
        <w:t xml:space="preserve">efinidas as condições de </w:t>
      </w:r>
      <w:r w:rsidR="00C83D54">
        <w:rPr>
          <w:rFonts w:ascii="Tahoma" w:hAnsi="Tahoma" w:cs="Tahoma"/>
          <w:sz w:val="18"/>
          <w:szCs w:val="18"/>
        </w:rPr>
        <w:t>risco e retorno</w:t>
      </w:r>
      <w:r w:rsidR="00336AA3" w:rsidRPr="00180805">
        <w:rPr>
          <w:rFonts w:ascii="Tahoma" w:hAnsi="Tahoma" w:cs="Tahoma"/>
          <w:sz w:val="18"/>
          <w:szCs w:val="18"/>
        </w:rPr>
        <w:t xml:space="preserve">, </w:t>
      </w:r>
      <w:r w:rsidRPr="00180805">
        <w:rPr>
          <w:rFonts w:ascii="Tahoma" w:hAnsi="Tahoma" w:cs="Tahoma"/>
          <w:sz w:val="18"/>
          <w:szCs w:val="18"/>
        </w:rPr>
        <w:t>a</w:t>
      </w:r>
      <w:r w:rsidR="00336AA3" w:rsidRPr="00180805">
        <w:rPr>
          <w:rFonts w:ascii="Tahoma" w:hAnsi="Tahoma" w:cs="Tahoma"/>
          <w:sz w:val="18"/>
          <w:szCs w:val="18"/>
        </w:rPr>
        <w:t xml:space="preserve">s alternativas </w:t>
      </w:r>
      <w:r w:rsidR="00C83D54">
        <w:rPr>
          <w:rFonts w:ascii="Tahoma" w:hAnsi="Tahoma" w:cs="Tahoma"/>
          <w:sz w:val="18"/>
          <w:szCs w:val="18"/>
        </w:rPr>
        <w:t>de investimento</w:t>
      </w:r>
      <w:r w:rsidR="0015099D">
        <w:rPr>
          <w:rFonts w:ascii="Tahoma" w:hAnsi="Tahoma" w:cs="Tahoma"/>
          <w:sz w:val="18"/>
          <w:szCs w:val="18"/>
        </w:rPr>
        <w:t>s</w:t>
      </w:r>
      <w:r w:rsidR="00C83D54">
        <w:rPr>
          <w:rFonts w:ascii="Tahoma" w:hAnsi="Tahoma" w:cs="Tahoma"/>
          <w:sz w:val="18"/>
          <w:szCs w:val="18"/>
        </w:rPr>
        <w:t xml:space="preserve"> serão delimitadas através das restrições estabelecidas.</w:t>
      </w:r>
    </w:p>
    <w:p w:rsidR="00BC1112" w:rsidRDefault="00BC1112" w:rsidP="00336AA3">
      <w:pPr>
        <w:spacing w:after="0"/>
        <w:jc w:val="both"/>
        <w:rPr>
          <w:rFonts w:ascii="Tahoma" w:hAnsi="Tahoma" w:cs="Tahoma"/>
        </w:rPr>
      </w:pPr>
    </w:p>
    <w:p w:rsidR="00BC1112" w:rsidRDefault="00BC1112" w:rsidP="00336AA3">
      <w:pPr>
        <w:spacing w:after="0"/>
        <w:jc w:val="both"/>
        <w:rPr>
          <w:rFonts w:ascii="Tahoma" w:hAnsi="Tahoma" w:cs="Tahoma"/>
        </w:rPr>
      </w:pPr>
    </w:p>
    <w:p w:rsidR="00700451" w:rsidRDefault="00700451" w:rsidP="00336AA3">
      <w:pPr>
        <w:spacing w:after="0"/>
        <w:jc w:val="both"/>
        <w:rPr>
          <w:rFonts w:ascii="Tahoma" w:hAnsi="Tahoma" w:cs="Tahoma"/>
        </w:rPr>
      </w:pPr>
    </w:p>
    <w:p w:rsidR="000E77F1" w:rsidRDefault="000E77F1" w:rsidP="000E77F1">
      <w:pPr>
        <w:spacing w:after="120"/>
        <w:ind w:left="2268"/>
        <w:jc w:val="both"/>
        <w:rPr>
          <w:rFonts w:ascii="Tahoma" w:hAnsi="Tahoma" w:cs="Tahoma"/>
        </w:rPr>
      </w:pPr>
    </w:p>
    <w:p w:rsidR="000E77F1" w:rsidRDefault="000E77F1" w:rsidP="000E77F1">
      <w:pPr>
        <w:spacing w:after="120"/>
        <w:ind w:left="2268"/>
        <w:jc w:val="both"/>
        <w:rPr>
          <w:rFonts w:ascii="Tahoma" w:hAnsi="Tahoma" w:cs="Tahoma"/>
        </w:rPr>
      </w:pPr>
    </w:p>
    <w:p w:rsidR="000E77F1" w:rsidRDefault="00C5789C" w:rsidP="000E77F1">
      <w:pPr>
        <w:spacing w:after="120"/>
        <w:ind w:left="2268"/>
        <w:jc w:val="both"/>
        <w:rPr>
          <w:rFonts w:ascii="Tahoma" w:hAnsi="Tahoma" w:cs="Tahoma"/>
        </w:rPr>
      </w:pPr>
      <w:r>
        <w:rPr>
          <w:rFonts w:ascii="Tahoma" w:hAnsi="Tahoma" w:cs="Tahoma"/>
          <w:noProof/>
        </w:rPr>
        <w:lastRenderedPageBreak/>
        <w:pict>
          <v:shape id="Text Box 4" o:spid="_x0000_s1027" type="#_x0000_t202" style="position:absolute;left:0;text-align:left;margin-left:-49.45pt;margin-top:-36.9pt;width:420.4pt;height:12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1L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" filled="f" stroked="f">
            <v:textbox>
              <w:txbxContent>
                <w:p w:rsidR="009A5912" w:rsidRPr="00144DFD" w:rsidRDefault="009A5912" w:rsidP="00AF3B64">
                  <w:pPr>
                    <w:rPr>
                      <w:szCs w:val="48"/>
                    </w:rPr>
                  </w:pPr>
                  <w:r w:rsidRPr="0081285E">
                    <w:rPr>
                      <w:rFonts w:ascii="Tahoma" w:hAnsi="Tahoma" w:cs="Tahoma"/>
                      <w:b/>
                      <w:sz w:val="48"/>
                      <w:szCs w:val="48"/>
                    </w:rPr>
                    <w:t>FUNDO DE PREVID</w:t>
                  </w:r>
                  <w:r>
                    <w:rPr>
                      <w:rFonts w:ascii="Tahoma" w:hAnsi="Tahoma" w:cs="Tahoma"/>
                      <w:b/>
                      <w:sz w:val="48"/>
                      <w:szCs w:val="48"/>
                    </w:rPr>
                    <w:t>Ê</w:t>
                  </w:r>
                  <w:r w:rsidRPr="0081285E">
                    <w:rPr>
                      <w:rFonts w:ascii="Tahoma" w:hAnsi="Tahoma" w:cs="Tahoma"/>
                      <w:b/>
                      <w:sz w:val="48"/>
                      <w:szCs w:val="48"/>
                    </w:rPr>
                    <w:t xml:space="preserve">NCIA SOCIAL DO SERVIDOR </w:t>
                  </w:r>
                  <w:r>
                    <w:rPr>
                      <w:rFonts w:ascii="Tahoma" w:hAnsi="Tahoma" w:cs="Tahoma"/>
                      <w:b/>
                      <w:sz w:val="48"/>
                      <w:szCs w:val="48"/>
                    </w:rPr>
                    <w:t>–</w:t>
                  </w:r>
                  <w:r w:rsidRPr="0081285E">
                    <w:rPr>
                      <w:rFonts w:ascii="Tahoma" w:hAnsi="Tahoma" w:cs="Tahoma"/>
                      <w:b/>
                      <w:sz w:val="48"/>
                      <w:szCs w:val="48"/>
                    </w:rPr>
                    <w:t xml:space="preserve"> FPSS</w:t>
                  </w:r>
                  <w:r>
                    <w:rPr>
                      <w:rFonts w:ascii="Tahoma" w:hAnsi="Tahoma" w:cs="Tahoma"/>
                      <w:b/>
                      <w:sz w:val="48"/>
                      <w:szCs w:val="48"/>
                    </w:rPr>
                    <w:t xml:space="preserve"> DE RIO DO</w:t>
                  </w:r>
                  <w:r w:rsidR="00134145">
                    <w:rPr>
                      <w:rFonts w:ascii="Tahoma" w:hAnsi="Tahoma" w:cs="Tahoma"/>
                      <w:b/>
                      <w:sz w:val="48"/>
                      <w:szCs w:val="48"/>
                    </w:rPr>
                    <w:t>S ÍNDIOS</w:t>
                  </w:r>
                </w:p>
                <w:p w:rsidR="009A5912" w:rsidRPr="00144DFD" w:rsidRDefault="009A5912" w:rsidP="00144DFD">
                  <w:pPr>
                    <w:rPr>
                      <w:szCs w:val="48"/>
                    </w:rPr>
                  </w:pPr>
                </w:p>
              </w:txbxContent>
            </v:textbox>
          </v:shape>
        </w:pict>
      </w:r>
    </w:p>
    <w:p w:rsidR="000E77F1" w:rsidRDefault="000E77F1" w:rsidP="000E77F1">
      <w:pPr>
        <w:spacing w:after="120"/>
        <w:ind w:left="2268"/>
        <w:jc w:val="both"/>
        <w:rPr>
          <w:rFonts w:ascii="Tahoma" w:hAnsi="Tahoma" w:cs="Tahoma"/>
        </w:rPr>
      </w:pPr>
    </w:p>
    <w:p w:rsidR="00B03B04" w:rsidRDefault="00B03B04" w:rsidP="000E77F1">
      <w:pPr>
        <w:spacing w:after="120"/>
        <w:ind w:left="2268"/>
        <w:jc w:val="both"/>
        <w:rPr>
          <w:rFonts w:ascii="Tahoma" w:hAnsi="Tahoma" w:cs="Tahoma"/>
        </w:rPr>
      </w:pPr>
    </w:p>
    <w:p w:rsidR="00B03B04" w:rsidRDefault="00B03B04" w:rsidP="000E77F1">
      <w:pPr>
        <w:spacing w:after="120"/>
        <w:ind w:left="2268"/>
        <w:jc w:val="both"/>
        <w:rPr>
          <w:rFonts w:ascii="Tahoma" w:hAnsi="Tahoma" w:cs="Tahoma"/>
        </w:rPr>
      </w:pPr>
    </w:p>
    <w:p w:rsidR="00B03B04" w:rsidRDefault="00B03B04" w:rsidP="000E77F1">
      <w:pPr>
        <w:spacing w:after="120"/>
        <w:ind w:left="2268"/>
        <w:jc w:val="both"/>
        <w:rPr>
          <w:rFonts w:ascii="Tahoma" w:hAnsi="Tahoma" w:cs="Tahoma"/>
        </w:rPr>
      </w:pPr>
    </w:p>
    <w:p w:rsidR="00B03B04" w:rsidRDefault="00B03B04" w:rsidP="000E77F1">
      <w:pPr>
        <w:spacing w:after="120"/>
        <w:ind w:left="2268"/>
        <w:jc w:val="both"/>
        <w:rPr>
          <w:rFonts w:ascii="Tahoma" w:hAnsi="Tahoma" w:cs="Tahoma"/>
        </w:rPr>
      </w:pPr>
    </w:p>
    <w:p w:rsidR="0017698C" w:rsidRPr="00E8601E" w:rsidRDefault="00B70A8D" w:rsidP="000E77F1">
      <w:pPr>
        <w:spacing w:after="120"/>
        <w:ind w:left="2268"/>
        <w:jc w:val="both"/>
        <w:rPr>
          <w:rFonts w:ascii="Tahoma" w:hAnsi="Tahoma" w:cs="Tahoma"/>
          <w:sz w:val="20"/>
        </w:rPr>
      </w:pPr>
      <w:r w:rsidRPr="00E8601E">
        <w:rPr>
          <w:rFonts w:ascii="Tahoma" w:hAnsi="Tahoma" w:cs="Tahoma"/>
          <w:sz w:val="20"/>
        </w:rPr>
        <w:t xml:space="preserve">O </w:t>
      </w:r>
      <w:r w:rsidR="0081285E" w:rsidRPr="0081285E">
        <w:rPr>
          <w:rFonts w:ascii="Tahoma" w:hAnsi="Tahoma" w:cs="Tahoma"/>
          <w:b/>
          <w:sz w:val="20"/>
        </w:rPr>
        <w:t>CONSELHO MUNICIPAL DE PREVIDÊNCIA – CMP</w:t>
      </w:r>
      <w:r w:rsidR="00681FB2" w:rsidRPr="00E8601E">
        <w:rPr>
          <w:rFonts w:ascii="Tahoma" w:hAnsi="Tahoma" w:cs="Tahoma"/>
          <w:sz w:val="20"/>
        </w:rPr>
        <w:t>no uso das atribuições que lhe são conferidas pelo</w:t>
      </w:r>
      <w:r w:rsidR="000E77F1" w:rsidRPr="009A5912">
        <w:rPr>
          <w:rFonts w:ascii="Tahoma" w:hAnsi="Tahoma" w:cs="Tahoma"/>
          <w:sz w:val="20"/>
        </w:rPr>
        <w:t xml:space="preserve">art. </w:t>
      </w:r>
      <w:r w:rsidR="0081285E" w:rsidRPr="009A5912">
        <w:rPr>
          <w:rFonts w:ascii="Tahoma" w:hAnsi="Tahoma" w:cs="Tahoma"/>
          <w:sz w:val="20"/>
        </w:rPr>
        <w:t>27 da</w:t>
      </w:r>
      <w:r w:rsidR="00344EA0" w:rsidRPr="009A5912">
        <w:rPr>
          <w:rFonts w:ascii="Tahoma" w:hAnsi="Tahoma" w:cs="Tahoma"/>
          <w:sz w:val="20"/>
        </w:rPr>
        <w:t xml:space="preserve"> Lei nº </w:t>
      </w:r>
      <w:r w:rsidR="0081285E" w:rsidRPr="009A5912">
        <w:rPr>
          <w:rFonts w:ascii="Tahoma" w:hAnsi="Tahoma" w:cs="Tahoma"/>
          <w:sz w:val="20"/>
        </w:rPr>
        <w:t>769</w:t>
      </w:r>
      <w:r w:rsidR="00344EA0" w:rsidRPr="009A5912">
        <w:rPr>
          <w:rFonts w:ascii="Tahoma" w:hAnsi="Tahoma" w:cs="Tahoma"/>
          <w:sz w:val="20"/>
        </w:rPr>
        <w:t xml:space="preserve">, de </w:t>
      </w:r>
      <w:r w:rsidR="0081285E" w:rsidRPr="009A5912">
        <w:rPr>
          <w:rFonts w:ascii="Tahoma" w:hAnsi="Tahoma" w:cs="Tahoma"/>
          <w:sz w:val="20"/>
        </w:rPr>
        <w:t>3</w:t>
      </w:r>
      <w:r w:rsidR="00344EA0" w:rsidRPr="009A5912">
        <w:rPr>
          <w:rFonts w:ascii="Tahoma" w:hAnsi="Tahoma" w:cs="Tahoma"/>
          <w:sz w:val="20"/>
        </w:rPr>
        <w:t xml:space="preserve">3 de </w:t>
      </w:r>
      <w:r w:rsidR="0081285E" w:rsidRPr="009A5912">
        <w:rPr>
          <w:rFonts w:ascii="Tahoma" w:hAnsi="Tahoma" w:cs="Tahoma"/>
          <w:sz w:val="20"/>
        </w:rPr>
        <w:t>outubro</w:t>
      </w:r>
      <w:r w:rsidR="00344EA0" w:rsidRPr="009A5912">
        <w:rPr>
          <w:rFonts w:ascii="Tahoma" w:hAnsi="Tahoma" w:cs="Tahoma"/>
          <w:sz w:val="20"/>
        </w:rPr>
        <w:t xml:space="preserve"> de 200</w:t>
      </w:r>
      <w:r w:rsidR="0081285E" w:rsidRPr="009A5912">
        <w:rPr>
          <w:rFonts w:ascii="Tahoma" w:hAnsi="Tahoma" w:cs="Tahoma"/>
          <w:sz w:val="20"/>
        </w:rPr>
        <w:t>7</w:t>
      </w:r>
      <w:r w:rsidR="00A03473" w:rsidRPr="009A5912">
        <w:rPr>
          <w:rFonts w:ascii="Tahoma" w:hAnsi="Tahoma" w:cs="Tahoma"/>
          <w:sz w:val="20"/>
        </w:rPr>
        <w:t>,</w:t>
      </w:r>
      <w:r w:rsidR="00A03473" w:rsidRPr="00344EA0">
        <w:rPr>
          <w:rFonts w:ascii="Tahoma" w:hAnsi="Tahoma" w:cs="Tahoma"/>
          <w:sz w:val="20"/>
        </w:rPr>
        <w:t xml:space="preserve"> torna</w:t>
      </w:r>
      <w:r w:rsidR="00A03473" w:rsidRPr="00E8601E">
        <w:rPr>
          <w:rFonts w:ascii="Tahoma" w:hAnsi="Tahoma" w:cs="Tahoma"/>
          <w:sz w:val="20"/>
        </w:rPr>
        <w:t xml:space="preserve"> público que, em sessão realizada em </w:t>
      </w:r>
      <w:r w:rsidR="00BA71E9">
        <w:rPr>
          <w:rFonts w:ascii="Tahoma" w:hAnsi="Tahoma" w:cs="Tahoma"/>
          <w:sz w:val="20"/>
          <w:highlight w:val="yellow"/>
        </w:rPr>
        <w:t>__</w:t>
      </w:r>
      <w:r w:rsidR="00F71564" w:rsidRPr="00A8544A">
        <w:rPr>
          <w:rFonts w:ascii="Tahoma" w:hAnsi="Tahoma" w:cs="Tahoma"/>
          <w:sz w:val="20"/>
          <w:highlight w:val="yellow"/>
        </w:rPr>
        <w:t xml:space="preserve"> de outubro de 201</w:t>
      </w:r>
      <w:r w:rsidR="00BA71E9">
        <w:rPr>
          <w:rFonts w:ascii="Tahoma" w:hAnsi="Tahoma" w:cs="Tahoma"/>
          <w:sz w:val="20"/>
        </w:rPr>
        <w:t>8</w:t>
      </w:r>
      <w:r w:rsidR="00F71564">
        <w:rPr>
          <w:rFonts w:ascii="Tahoma" w:hAnsi="Tahoma" w:cs="Tahoma"/>
          <w:sz w:val="20"/>
        </w:rPr>
        <w:t>,</w:t>
      </w:r>
      <w:r w:rsidR="00A03473" w:rsidRPr="00E8601E">
        <w:rPr>
          <w:rFonts w:ascii="Tahoma" w:hAnsi="Tahoma" w:cs="Tahoma"/>
          <w:sz w:val="20"/>
        </w:rPr>
        <w:t xml:space="preserve">com base no </w:t>
      </w:r>
      <w:r w:rsidR="001E78B7" w:rsidRPr="001E78B7">
        <w:rPr>
          <w:rFonts w:ascii="Tahoma" w:hAnsi="Tahoma" w:cs="Tahoma"/>
          <w:b/>
          <w:sz w:val="20"/>
        </w:rPr>
        <w:t>art. 4º da Resolução CMN 3.922/2010 e com as alterações descritas na resolução 4.604/2017</w:t>
      </w:r>
      <w:r w:rsidR="000E77F1" w:rsidRPr="00E8601E">
        <w:rPr>
          <w:rFonts w:ascii="Tahoma" w:hAnsi="Tahoma" w:cs="Tahoma"/>
          <w:sz w:val="20"/>
        </w:rPr>
        <w:t xml:space="preserve">, </w:t>
      </w:r>
      <w:r w:rsidR="0017698C" w:rsidRPr="00E8601E">
        <w:rPr>
          <w:rFonts w:ascii="Tahoma" w:hAnsi="Tahoma" w:cs="Tahoma"/>
          <w:sz w:val="20"/>
        </w:rPr>
        <w:t>APROVA esta POLÍTICA DE INVESTIMENTO</w:t>
      </w:r>
      <w:r w:rsidR="002D368F" w:rsidRPr="00E8601E">
        <w:rPr>
          <w:rFonts w:ascii="Tahoma" w:hAnsi="Tahoma" w:cs="Tahoma"/>
          <w:sz w:val="20"/>
        </w:rPr>
        <w:t xml:space="preserve">S referente ao </w:t>
      </w:r>
      <w:r w:rsidR="002D368F" w:rsidRPr="00E8601E">
        <w:rPr>
          <w:rFonts w:ascii="Tahoma" w:hAnsi="Tahoma" w:cs="Tahoma"/>
          <w:b/>
          <w:sz w:val="20"/>
        </w:rPr>
        <w:t>EXERCÍCIO DE 201</w:t>
      </w:r>
      <w:r w:rsidR="00564AED">
        <w:rPr>
          <w:rFonts w:ascii="Tahoma" w:hAnsi="Tahoma" w:cs="Tahoma"/>
          <w:b/>
          <w:sz w:val="20"/>
        </w:rPr>
        <w:t>9</w:t>
      </w:r>
      <w:r w:rsidR="0017698C" w:rsidRPr="00E8601E">
        <w:rPr>
          <w:rFonts w:ascii="Tahoma" w:hAnsi="Tahoma" w:cs="Tahoma"/>
          <w:b/>
          <w:sz w:val="20"/>
        </w:rPr>
        <w:t>.</w:t>
      </w:r>
    </w:p>
    <w:p w:rsidR="0017698C" w:rsidRPr="00E8601E" w:rsidRDefault="0017698C" w:rsidP="0017698C">
      <w:pPr>
        <w:spacing w:after="120"/>
        <w:jc w:val="both"/>
        <w:rPr>
          <w:rFonts w:ascii="Tahoma" w:hAnsi="Tahoma" w:cs="Tahoma"/>
          <w:sz w:val="20"/>
        </w:rPr>
      </w:pPr>
    </w:p>
    <w:p w:rsidR="00681FB2" w:rsidRPr="00E8601E" w:rsidRDefault="00EA7EB6" w:rsidP="00681FB2">
      <w:pPr>
        <w:autoSpaceDE w:val="0"/>
        <w:autoSpaceDN w:val="0"/>
        <w:adjustRightInd w:val="0"/>
        <w:spacing w:after="0"/>
        <w:jc w:val="both"/>
        <w:rPr>
          <w:rFonts w:ascii="Tahoma" w:hAnsi="Tahoma" w:cs="Tahoma"/>
          <w:sz w:val="20"/>
        </w:rPr>
      </w:pPr>
      <w:r w:rsidRPr="00E8601E">
        <w:rPr>
          <w:rFonts w:ascii="Tahoma" w:hAnsi="Tahoma" w:cs="Tahoma"/>
          <w:sz w:val="20"/>
        </w:rPr>
        <w:t xml:space="preserve">A elaboração desta Política de Investimentos conduzida pelo </w:t>
      </w:r>
      <w:r w:rsidR="00681FB2" w:rsidRPr="00E8601E">
        <w:rPr>
          <w:rFonts w:ascii="Tahoma" w:hAnsi="Tahoma" w:cs="Tahoma"/>
          <w:sz w:val="20"/>
        </w:rPr>
        <w:t xml:space="preserve">COMITÊ DE INVESTIMENTOS deste RPPS, como órgão auxiliar no processo decisório quanto à execução da política de investimentos, cujas decisões serão registradas em ata, subscreve juntamente com o </w:t>
      </w:r>
      <w:r w:rsidR="009A5912" w:rsidRPr="0081285E">
        <w:rPr>
          <w:rFonts w:ascii="Tahoma" w:hAnsi="Tahoma" w:cs="Tahoma"/>
          <w:b/>
          <w:sz w:val="20"/>
        </w:rPr>
        <w:t>CONSELHO MUNICIPAL DE PREVIDÊNCIA – CMP</w:t>
      </w:r>
      <w:r w:rsidR="00681FB2" w:rsidRPr="00E8601E">
        <w:rPr>
          <w:rFonts w:ascii="Tahoma" w:hAnsi="Tahoma" w:cs="Tahoma"/>
          <w:sz w:val="20"/>
        </w:rPr>
        <w:t>esta política anual de investimentos.</w:t>
      </w:r>
    </w:p>
    <w:p w:rsidR="00681FB2" w:rsidRPr="00E8601E" w:rsidRDefault="00681FB2" w:rsidP="0017698C">
      <w:pPr>
        <w:spacing w:after="120"/>
        <w:jc w:val="both"/>
        <w:rPr>
          <w:rFonts w:ascii="Tahoma" w:hAnsi="Tahoma" w:cs="Tahoma"/>
          <w:sz w:val="20"/>
        </w:rPr>
      </w:pPr>
    </w:p>
    <w:p w:rsidR="00344EA0" w:rsidRPr="00E8601E" w:rsidRDefault="00344EA0" w:rsidP="00344EA0">
      <w:pPr>
        <w:spacing w:after="120"/>
        <w:rPr>
          <w:rFonts w:ascii="Tahoma" w:hAnsi="Tahoma" w:cs="Tahoma"/>
          <w:sz w:val="20"/>
        </w:rPr>
      </w:pPr>
    </w:p>
    <w:p w:rsidR="00344EA0" w:rsidRPr="00567E06" w:rsidRDefault="00134145" w:rsidP="00344EA0">
      <w:pPr>
        <w:spacing w:after="120"/>
        <w:rPr>
          <w:rFonts w:ascii="Tahoma" w:hAnsi="Tahoma" w:cs="Tahoma"/>
          <w:b/>
          <w:sz w:val="20"/>
        </w:rPr>
      </w:pPr>
      <w:bookmarkStart w:id="0" w:name="_Hlk525979079"/>
      <w:r w:rsidRPr="00134145">
        <w:rPr>
          <w:rFonts w:ascii="Tahoma" w:hAnsi="Tahoma" w:cs="Tahoma"/>
          <w:b/>
          <w:sz w:val="20"/>
        </w:rPr>
        <w:t>FUNDO DE PREVIDÊNCIA SOCIAL DO SERVIDOR – FPSS DE RIO DOS ÍNDIOS</w:t>
      </w:r>
    </w:p>
    <w:bookmarkEnd w:id="0"/>
    <w:p w:rsidR="00344EA0" w:rsidRPr="00567E06" w:rsidRDefault="00344EA0" w:rsidP="00344EA0">
      <w:pPr>
        <w:spacing w:after="120"/>
        <w:rPr>
          <w:rFonts w:ascii="Tahoma" w:hAnsi="Tahoma" w:cs="Tahoma"/>
          <w:sz w:val="20"/>
        </w:rPr>
      </w:pPr>
      <w:r w:rsidRPr="00567E06">
        <w:rPr>
          <w:rFonts w:ascii="Tahoma" w:hAnsi="Tahoma" w:cs="Tahoma"/>
          <w:sz w:val="20"/>
        </w:rPr>
        <w:t xml:space="preserve">CNPJ: </w:t>
      </w:r>
      <w:r w:rsidR="009A5912" w:rsidRPr="009A5912">
        <w:rPr>
          <w:rFonts w:ascii="Tahoma" w:hAnsi="Tahoma" w:cs="Tahoma"/>
          <w:sz w:val="20"/>
        </w:rPr>
        <w:t>15.045.713/0001-49</w:t>
      </w:r>
    </w:p>
    <w:p w:rsidR="00344EA0" w:rsidRPr="00567E06" w:rsidRDefault="009A5912" w:rsidP="00344EA0">
      <w:pPr>
        <w:spacing w:after="120"/>
        <w:rPr>
          <w:rFonts w:ascii="Tahoma" w:hAnsi="Tahoma" w:cs="Tahoma"/>
          <w:sz w:val="20"/>
        </w:rPr>
      </w:pPr>
      <w:r w:rsidRPr="009A5912">
        <w:rPr>
          <w:rFonts w:ascii="Tahoma" w:hAnsi="Tahoma" w:cs="Tahoma"/>
          <w:sz w:val="20"/>
        </w:rPr>
        <w:t>Rua AngeloSantinelli</w:t>
      </w:r>
      <w:r>
        <w:rPr>
          <w:rFonts w:ascii="Tahoma" w:hAnsi="Tahoma" w:cs="Tahoma"/>
          <w:sz w:val="20"/>
        </w:rPr>
        <w:t>, 296</w:t>
      </w:r>
    </w:p>
    <w:p w:rsidR="00344EA0" w:rsidRPr="00567E06" w:rsidRDefault="00344EA0" w:rsidP="00344EA0">
      <w:pPr>
        <w:spacing w:after="120"/>
        <w:rPr>
          <w:rFonts w:ascii="Tahoma" w:hAnsi="Tahoma" w:cs="Tahoma"/>
          <w:sz w:val="20"/>
        </w:rPr>
      </w:pPr>
      <w:r w:rsidRPr="00567E06">
        <w:rPr>
          <w:rFonts w:ascii="Tahoma" w:hAnsi="Tahoma" w:cs="Tahoma"/>
          <w:sz w:val="20"/>
        </w:rPr>
        <w:t xml:space="preserve">CEP: </w:t>
      </w:r>
      <w:r w:rsidR="009A5912" w:rsidRPr="009A5912">
        <w:rPr>
          <w:rFonts w:ascii="Tahoma" w:hAnsi="Tahoma" w:cs="Tahoma"/>
          <w:sz w:val="20"/>
        </w:rPr>
        <w:t>99</w:t>
      </w:r>
      <w:r w:rsidR="009A5912">
        <w:rPr>
          <w:rFonts w:ascii="Tahoma" w:hAnsi="Tahoma" w:cs="Tahoma"/>
          <w:sz w:val="20"/>
        </w:rPr>
        <w:t>.</w:t>
      </w:r>
      <w:r w:rsidR="009A5912" w:rsidRPr="009A5912">
        <w:rPr>
          <w:rFonts w:ascii="Tahoma" w:hAnsi="Tahoma" w:cs="Tahoma"/>
          <w:sz w:val="20"/>
        </w:rPr>
        <w:t>610</w:t>
      </w:r>
      <w:r w:rsidR="009A5912">
        <w:rPr>
          <w:rFonts w:ascii="Tahoma" w:hAnsi="Tahoma" w:cs="Tahoma"/>
          <w:sz w:val="20"/>
        </w:rPr>
        <w:t>-</w:t>
      </w:r>
      <w:r w:rsidR="009A5912" w:rsidRPr="009A5912">
        <w:rPr>
          <w:rFonts w:ascii="Tahoma" w:hAnsi="Tahoma" w:cs="Tahoma"/>
          <w:sz w:val="20"/>
        </w:rPr>
        <w:t>000</w:t>
      </w:r>
    </w:p>
    <w:p w:rsidR="00344EA0" w:rsidRPr="00567E06" w:rsidRDefault="00344EA0" w:rsidP="00344EA0">
      <w:pPr>
        <w:spacing w:after="120"/>
        <w:rPr>
          <w:rFonts w:ascii="Tahoma" w:hAnsi="Tahoma" w:cs="Tahoma"/>
          <w:sz w:val="20"/>
        </w:rPr>
      </w:pPr>
      <w:r w:rsidRPr="00567E06">
        <w:rPr>
          <w:rFonts w:ascii="Tahoma" w:hAnsi="Tahoma" w:cs="Tahoma"/>
          <w:sz w:val="20"/>
        </w:rPr>
        <w:t xml:space="preserve">(055) </w:t>
      </w:r>
      <w:r w:rsidR="009A5912" w:rsidRPr="009A5912">
        <w:rPr>
          <w:rFonts w:ascii="Tahoma" w:hAnsi="Tahoma" w:cs="Tahoma"/>
          <w:sz w:val="20"/>
        </w:rPr>
        <w:t>3614</w:t>
      </w:r>
      <w:r w:rsidR="009A5912">
        <w:rPr>
          <w:rFonts w:ascii="Tahoma" w:hAnsi="Tahoma" w:cs="Tahoma"/>
          <w:sz w:val="20"/>
        </w:rPr>
        <w:t>.</w:t>
      </w:r>
      <w:r w:rsidR="009A5912" w:rsidRPr="009A5912">
        <w:rPr>
          <w:rFonts w:ascii="Tahoma" w:hAnsi="Tahoma" w:cs="Tahoma"/>
          <w:sz w:val="20"/>
        </w:rPr>
        <w:t>2106</w:t>
      </w:r>
    </w:p>
    <w:p w:rsidR="00344EA0" w:rsidRDefault="00564AED" w:rsidP="00344EA0">
      <w:pPr>
        <w:spacing w:after="120"/>
        <w:rPr>
          <w:rFonts w:ascii="Tahoma" w:hAnsi="Tahoma" w:cs="Tahoma"/>
          <w:sz w:val="20"/>
        </w:rPr>
      </w:pPr>
      <w:r>
        <w:rPr>
          <w:rStyle w:val="Hyperlink"/>
          <w:rFonts w:ascii="Tahoma" w:hAnsi="Tahoma" w:cs="Tahoma"/>
          <w:sz w:val="20"/>
        </w:rPr>
        <w:t>e-mail :</w:t>
      </w:r>
      <w:r w:rsidR="009A5912" w:rsidRPr="009A5912">
        <w:rPr>
          <w:rFonts w:ascii="Tahoma" w:hAnsi="Tahoma" w:cs="Tahoma"/>
          <w:sz w:val="20"/>
        </w:rPr>
        <w:t>elisanazari@hotmail.com</w:t>
      </w:r>
    </w:p>
    <w:p w:rsidR="00A03473" w:rsidRPr="00E8601E" w:rsidRDefault="00A03473" w:rsidP="009F4099">
      <w:pPr>
        <w:spacing w:after="120"/>
        <w:rPr>
          <w:rFonts w:ascii="Tahoma" w:hAnsi="Tahoma" w:cs="Tahoma"/>
          <w:sz w:val="20"/>
        </w:rPr>
      </w:pPr>
      <w:r w:rsidRPr="00E8601E">
        <w:rPr>
          <w:rFonts w:ascii="Tahoma" w:hAnsi="Tahoma" w:cs="Tahoma"/>
          <w:sz w:val="20"/>
        </w:rPr>
        <w:br w:type="page"/>
      </w:r>
    </w:p>
    <w:p w:rsidR="00560568" w:rsidRPr="00E4782B" w:rsidRDefault="00560568" w:rsidP="00560568">
      <w:pPr>
        <w:spacing w:after="120"/>
        <w:jc w:val="both"/>
        <w:outlineLvl w:val="0"/>
      </w:pPr>
      <w:bookmarkStart w:id="1" w:name="_Toc471975206"/>
      <w:bookmarkStart w:id="2" w:name="_Toc474757787"/>
      <w:bookmarkStart w:id="3" w:name="_Toc481564672"/>
      <w:bookmarkStart w:id="4" w:name="_Toc496874694"/>
      <w:r>
        <w:rPr>
          <w:rStyle w:val="Ttulo1Char"/>
        </w:rPr>
        <w:lastRenderedPageBreak/>
        <w:t>SUMÁRIO</w:t>
      </w:r>
      <w:bookmarkEnd w:id="1"/>
      <w:bookmarkEnd w:id="2"/>
      <w:bookmarkEnd w:id="3"/>
      <w:bookmarkEnd w:id="4"/>
      <w:r w:rsidRPr="00E4782B">
        <w:object w:dxaOrig="3163" w:dyaOrig="3187">
          <v:shape id="_x0000_i1027" type="#_x0000_t75" style="width:23.25pt;height:23.25pt" o:ole="">
            <v:imagedata r:id="rId10" o:title=""/>
          </v:shape>
          <o:OLEObject Type="Embed" ProgID="CorelDRAW.Graphic.13" ShapeID="_x0000_i1027" DrawAspect="Content" ObjectID="_1608620650" r:id="rId12"/>
        </w:object>
      </w:r>
    </w:p>
    <w:bookmarkStart w:id="5" w:name="_Toc436036975"/>
    <w:bookmarkStart w:id="6" w:name="_Toc341970889"/>
    <w:p w:rsidR="00DA493B" w:rsidRPr="00DA493B" w:rsidRDefault="00C5789C" w:rsidP="00DA493B">
      <w:pPr>
        <w:pStyle w:val="Sumrio1"/>
        <w:tabs>
          <w:tab w:val="right" w:leader="dot" w:pos="8494"/>
        </w:tabs>
        <w:rPr>
          <w:rFonts w:ascii="Tahoma" w:hAnsi="Tahoma" w:cs="Tahoma"/>
          <w:b w:val="0"/>
          <w:bCs w:val="0"/>
          <w:caps w:val="0"/>
          <w:noProof/>
          <w:sz w:val="22"/>
          <w:szCs w:val="22"/>
        </w:rPr>
      </w:pPr>
      <w:r w:rsidRPr="00C5789C">
        <w:rPr>
          <w:rFonts w:ascii="Tahoma" w:hAnsi="Tahoma" w:cs="Tahoma"/>
          <w:b w:val="0"/>
          <w:bCs w:val="0"/>
          <w:caps w:val="0"/>
        </w:rPr>
        <w:fldChar w:fldCharType="begin"/>
      </w:r>
      <w:r w:rsidR="00DA493B" w:rsidRPr="00DA493B">
        <w:rPr>
          <w:rFonts w:ascii="Tahoma" w:hAnsi="Tahoma" w:cs="Tahoma"/>
          <w:b w:val="0"/>
          <w:bCs w:val="0"/>
          <w:caps w:val="0"/>
        </w:rPr>
        <w:instrText xml:space="preserve"> TOC \o "1-3" \u </w:instrText>
      </w:r>
      <w:r w:rsidRPr="00C5789C">
        <w:rPr>
          <w:rFonts w:ascii="Tahoma" w:hAnsi="Tahoma" w:cs="Tahoma"/>
          <w:b w:val="0"/>
          <w:bCs w:val="0"/>
          <w:caps w:val="0"/>
        </w:rPr>
        <w:fldChar w:fldCharType="separate"/>
      </w:r>
      <w:r w:rsidR="00DA493B" w:rsidRPr="00DA493B">
        <w:rPr>
          <w:rFonts w:ascii="Tahoma" w:hAnsi="Tahoma" w:cs="Tahoma"/>
          <w:noProof/>
          <w:color w:val="002060"/>
        </w:rPr>
        <w:t>APRESENTAÇÃO</w:t>
      </w:r>
      <w:r w:rsidR="00DA493B" w:rsidRPr="00DA493B">
        <w:rPr>
          <w:rFonts w:ascii="Tahoma" w:hAnsi="Tahoma" w:cs="Tahoma"/>
          <w:noProof/>
        </w:rPr>
        <w:tab/>
      </w:r>
      <w:r w:rsidR="00416998">
        <w:rPr>
          <w:rFonts w:ascii="Tahoma" w:hAnsi="Tahoma" w:cs="Tahoma"/>
          <w:noProof/>
        </w:rPr>
        <w:t>4</w:t>
      </w:r>
    </w:p>
    <w:p w:rsidR="00DA493B" w:rsidRPr="00DA493B" w:rsidRDefault="00DA493B" w:rsidP="00DA493B">
      <w:pPr>
        <w:pStyle w:val="Sumrio2"/>
        <w:tabs>
          <w:tab w:val="right" w:leader="dot" w:pos="8494"/>
        </w:tabs>
        <w:rPr>
          <w:rFonts w:ascii="Tahoma" w:hAnsi="Tahoma" w:cs="Tahoma"/>
          <w:smallCaps w:val="0"/>
          <w:noProof/>
          <w:sz w:val="22"/>
          <w:szCs w:val="22"/>
        </w:rPr>
      </w:pPr>
      <w:r w:rsidRPr="00DA493B">
        <w:rPr>
          <w:rFonts w:ascii="Tahoma" w:hAnsi="Tahoma" w:cs="Tahoma"/>
          <w:noProof/>
        </w:rPr>
        <w:t>Do Objeto</w:t>
      </w:r>
      <w:r w:rsidRPr="00DA493B">
        <w:rPr>
          <w:rFonts w:ascii="Tahoma" w:hAnsi="Tahoma" w:cs="Tahoma"/>
          <w:noProof/>
        </w:rPr>
        <w:tab/>
      </w:r>
      <w:r w:rsidR="00416998">
        <w:rPr>
          <w:rFonts w:ascii="Tahoma" w:hAnsi="Tahoma" w:cs="Tahoma"/>
          <w:noProof/>
        </w:rPr>
        <w:t>4</w:t>
      </w:r>
    </w:p>
    <w:p w:rsidR="00DA493B" w:rsidRPr="00DA493B" w:rsidRDefault="00DA493B" w:rsidP="00DA493B">
      <w:pPr>
        <w:pStyle w:val="Sumrio2"/>
        <w:tabs>
          <w:tab w:val="right" w:leader="dot" w:pos="8494"/>
        </w:tabs>
        <w:rPr>
          <w:rFonts w:ascii="Tahoma" w:hAnsi="Tahoma" w:cs="Tahoma"/>
          <w:smallCaps w:val="0"/>
          <w:noProof/>
          <w:sz w:val="22"/>
          <w:szCs w:val="22"/>
        </w:rPr>
      </w:pPr>
      <w:r w:rsidRPr="00DA493B">
        <w:rPr>
          <w:rFonts w:ascii="Tahoma" w:hAnsi="Tahoma" w:cs="Tahoma"/>
          <w:noProof/>
        </w:rPr>
        <w:t>Da Administração</w:t>
      </w:r>
      <w:r w:rsidRPr="00DA493B">
        <w:rPr>
          <w:rFonts w:ascii="Tahoma" w:hAnsi="Tahoma" w:cs="Tahoma"/>
          <w:noProof/>
        </w:rPr>
        <w:tab/>
      </w:r>
      <w:r w:rsidR="00416998">
        <w:rPr>
          <w:rFonts w:ascii="Tahoma" w:hAnsi="Tahoma" w:cs="Tahoma"/>
          <w:noProof/>
        </w:rPr>
        <w:t>4</w:t>
      </w:r>
    </w:p>
    <w:p w:rsidR="00DA493B" w:rsidRPr="00DA493B" w:rsidRDefault="00DA493B" w:rsidP="00DA493B">
      <w:pPr>
        <w:pStyle w:val="Sumrio2"/>
        <w:tabs>
          <w:tab w:val="right" w:leader="dot" w:pos="8494"/>
        </w:tabs>
        <w:rPr>
          <w:rFonts w:ascii="Tahoma" w:hAnsi="Tahoma" w:cs="Tahoma"/>
          <w:smallCaps w:val="0"/>
          <w:noProof/>
          <w:sz w:val="22"/>
          <w:szCs w:val="22"/>
        </w:rPr>
      </w:pPr>
      <w:r w:rsidRPr="00DA493B">
        <w:rPr>
          <w:rFonts w:ascii="Tahoma" w:hAnsi="Tahoma" w:cs="Tahoma"/>
          <w:noProof/>
        </w:rPr>
        <w:t>Da Organização do Documento</w:t>
      </w:r>
      <w:r w:rsidRPr="00DA493B">
        <w:rPr>
          <w:rFonts w:ascii="Tahoma" w:hAnsi="Tahoma" w:cs="Tahoma"/>
          <w:noProof/>
        </w:rPr>
        <w:tab/>
      </w:r>
      <w:r w:rsidR="00416998">
        <w:rPr>
          <w:rFonts w:ascii="Tahoma" w:hAnsi="Tahoma" w:cs="Tahoma"/>
          <w:noProof/>
        </w:rPr>
        <w:t>4</w:t>
      </w:r>
    </w:p>
    <w:p w:rsidR="00DA493B" w:rsidRPr="00DA493B" w:rsidRDefault="00DA493B" w:rsidP="00DA493B">
      <w:pPr>
        <w:pStyle w:val="Sumrio1"/>
        <w:tabs>
          <w:tab w:val="right" w:leader="dot" w:pos="8494"/>
        </w:tabs>
        <w:rPr>
          <w:rFonts w:ascii="Tahoma" w:hAnsi="Tahoma" w:cs="Tahoma"/>
          <w:b w:val="0"/>
          <w:bCs w:val="0"/>
          <w:caps w:val="0"/>
          <w:noProof/>
          <w:sz w:val="22"/>
          <w:szCs w:val="22"/>
        </w:rPr>
      </w:pPr>
      <w:r w:rsidRPr="00DA493B">
        <w:rPr>
          <w:rFonts w:ascii="Tahoma" w:hAnsi="Tahoma" w:cs="Tahoma"/>
          <w:noProof/>
        </w:rPr>
        <w:t>VIGÊNCIA E OBJETIVOS DA POLÍTICA DE INVESTIMENTOS 201</w:t>
      </w:r>
      <w:r w:rsidR="00564AED">
        <w:rPr>
          <w:rFonts w:ascii="Tahoma" w:hAnsi="Tahoma" w:cs="Tahoma"/>
          <w:noProof/>
        </w:rPr>
        <w:t>9</w:t>
      </w:r>
      <w:r w:rsidRPr="00DA493B">
        <w:rPr>
          <w:rFonts w:ascii="Tahoma" w:hAnsi="Tahoma" w:cs="Tahoma"/>
          <w:noProof/>
        </w:rPr>
        <w:tab/>
      </w:r>
      <w:r w:rsidR="00416998">
        <w:rPr>
          <w:rFonts w:ascii="Tahoma" w:hAnsi="Tahoma" w:cs="Tahoma"/>
          <w:noProof/>
        </w:rPr>
        <w:t>5</w:t>
      </w:r>
    </w:p>
    <w:p w:rsidR="00DA493B" w:rsidRPr="00DA493B" w:rsidRDefault="00DA493B" w:rsidP="00DA493B">
      <w:pPr>
        <w:pStyle w:val="Sumrio2"/>
        <w:tabs>
          <w:tab w:val="right" w:leader="dot" w:pos="8494"/>
        </w:tabs>
        <w:rPr>
          <w:rFonts w:ascii="Tahoma" w:hAnsi="Tahoma" w:cs="Tahoma"/>
          <w:smallCaps w:val="0"/>
          <w:noProof/>
          <w:sz w:val="22"/>
          <w:szCs w:val="22"/>
        </w:rPr>
      </w:pPr>
      <w:r w:rsidRPr="00DA493B">
        <w:rPr>
          <w:rFonts w:ascii="Tahoma" w:hAnsi="Tahoma" w:cs="Tahoma"/>
          <w:noProof/>
        </w:rPr>
        <w:t>Da Vigência</w:t>
      </w:r>
      <w:r w:rsidRPr="00DA493B">
        <w:rPr>
          <w:rFonts w:ascii="Tahoma" w:hAnsi="Tahoma" w:cs="Tahoma"/>
          <w:noProof/>
        </w:rPr>
        <w:tab/>
      </w:r>
      <w:r w:rsidR="00416998">
        <w:rPr>
          <w:rFonts w:ascii="Tahoma" w:hAnsi="Tahoma" w:cs="Tahoma"/>
          <w:noProof/>
        </w:rPr>
        <w:t>5</w:t>
      </w:r>
    </w:p>
    <w:p w:rsidR="00DA493B" w:rsidRPr="00DA493B" w:rsidRDefault="00DA493B" w:rsidP="00DA493B">
      <w:pPr>
        <w:pStyle w:val="Sumrio2"/>
        <w:tabs>
          <w:tab w:val="right" w:leader="dot" w:pos="8494"/>
        </w:tabs>
        <w:rPr>
          <w:rFonts w:ascii="Tahoma" w:hAnsi="Tahoma" w:cs="Tahoma"/>
          <w:smallCaps w:val="0"/>
          <w:noProof/>
          <w:sz w:val="22"/>
          <w:szCs w:val="22"/>
        </w:rPr>
      </w:pPr>
      <w:r w:rsidRPr="00DA493B">
        <w:rPr>
          <w:rFonts w:ascii="Tahoma" w:hAnsi="Tahoma" w:cs="Tahoma"/>
          <w:noProof/>
        </w:rPr>
        <w:t>Dos Objetivos</w:t>
      </w:r>
      <w:r w:rsidRPr="00DA493B">
        <w:rPr>
          <w:rFonts w:ascii="Tahoma" w:hAnsi="Tahoma" w:cs="Tahoma"/>
          <w:noProof/>
        </w:rPr>
        <w:tab/>
      </w:r>
      <w:r w:rsidR="00416998">
        <w:rPr>
          <w:rFonts w:ascii="Tahoma" w:hAnsi="Tahoma" w:cs="Tahoma"/>
          <w:noProof/>
        </w:rPr>
        <w:t>5</w:t>
      </w:r>
    </w:p>
    <w:p w:rsidR="00DA493B" w:rsidRPr="00DA493B" w:rsidRDefault="00DA493B" w:rsidP="00DA493B">
      <w:pPr>
        <w:pStyle w:val="Sumrio1"/>
        <w:tabs>
          <w:tab w:val="right" w:leader="dot" w:pos="8494"/>
        </w:tabs>
        <w:rPr>
          <w:rFonts w:ascii="Tahoma" w:hAnsi="Tahoma" w:cs="Tahoma"/>
          <w:b w:val="0"/>
          <w:bCs w:val="0"/>
          <w:caps w:val="0"/>
          <w:noProof/>
          <w:sz w:val="22"/>
          <w:szCs w:val="22"/>
        </w:rPr>
      </w:pPr>
      <w:r w:rsidRPr="00DA493B">
        <w:rPr>
          <w:rFonts w:ascii="Tahoma" w:hAnsi="Tahoma" w:cs="Tahoma"/>
          <w:noProof/>
        </w:rPr>
        <w:t>MODELO DE GESTÃO E SERVIÇOS ESPECIALIZADOS</w:t>
      </w:r>
      <w:r w:rsidRPr="00DA493B">
        <w:rPr>
          <w:rFonts w:ascii="Tahoma" w:hAnsi="Tahoma" w:cs="Tahoma"/>
          <w:noProof/>
        </w:rPr>
        <w:tab/>
      </w:r>
      <w:r w:rsidR="00416998">
        <w:rPr>
          <w:rFonts w:ascii="Tahoma" w:hAnsi="Tahoma" w:cs="Tahoma"/>
          <w:noProof/>
        </w:rPr>
        <w:t>6</w:t>
      </w:r>
    </w:p>
    <w:p w:rsidR="00DA493B" w:rsidRPr="00DA493B" w:rsidRDefault="00DA493B" w:rsidP="00DA493B">
      <w:pPr>
        <w:pStyle w:val="Sumrio2"/>
        <w:tabs>
          <w:tab w:val="right" w:leader="dot" w:pos="8494"/>
        </w:tabs>
        <w:rPr>
          <w:rFonts w:ascii="Tahoma" w:hAnsi="Tahoma" w:cs="Tahoma"/>
          <w:smallCaps w:val="0"/>
          <w:noProof/>
          <w:sz w:val="22"/>
          <w:szCs w:val="22"/>
        </w:rPr>
      </w:pPr>
      <w:r w:rsidRPr="00DA493B">
        <w:rPr>
          <w:rFonts w:ascii="Tahoma" w:hAnsi="Tahoma" w:cs="Tahoma"/>
          <w:noProof/>
        </w:rPr>
        <w:t>Do Modelo de Gestão</w:t>
      </w:r>
      <w:r w:rsidRPr="00DA493B">
        <w:rPr>
          <w:rFonts w:ascii="Tahoma" w:hAnsi="Tahoma" w:cs="Tahoma"/>
          <w:noProof/>
        </w:rPr>
        <w:tab/>
      </w:r>
      <w:r w:rsidR="00416998">
        <w:rPr>
          <w:rFonts w:ascii="Tahoma" w:hAnsi="Tahoma" w:cs="Tahoma"/>
          <w:noProof/>
        </w:rPr>
        <w:t>6</w:t>
      </w:r>
    </w:p>
    <w:p w:rsidR="00DA493B" w:rsidRPr="00DA493B" w:rsidRDefault="00DA493B" w:rsidP="00DA493B">
      <w:pPr>
        <w:pStyle w:val="Sumrio2"/>
        <w:tabs>
          <w:tab w:val="right" w:leader="dot" w:pos="8494"/>
        </w:tabs>
        <w:rPr>
          <w:rFonts w:ascii="Tahoma" w:hAnsi="Tahoma" w:cs="Tahoma"/>
          <w:smallCaps w:val="0"/>
          <w:noProof/>
          <w:sz w:val="22"/>
          <w:szCs w:val="22"/>
        </w:rPr>
      </w:pPr>
      <w:r w:rsidRPr="00DA493B">
        <w:rPr>
          <w:rFonts w:ascii="Tahoma" w:hAnsi="Tahoma" w:cs="Tahoma"/>
          <w:noProof/>
        </w:rPr>
        <w:t>Dos Serviços Especializados</w:t>
      </w:r>
      <w:r w:rsidRPr="00DA493B">
        <w:rPr>
          <w:rFonts w:ascii="Tahoma" w:hAnsi="Tahoma" w:cs="Tahoma"/>
          <w:noProof/>
        </w:rPr>
        <w:tab/>
      </w:r>
      <w:r w:rsidR="00416998">
        <w:rPr>
          <w:rFonts w:ascii="Tahoma" w:hAnsi="Tahoma" w:cs="Tahoma"/>
          <w:noProof/>
        </w:rPr>
        <w:t>7</w:t>
      </w:r>
    </w:p>
    <w:p w:rsidR="00DA493B" w:rsidRPr="00DA493B" w:rsidRDefault="00DA493B" w:rsidP="00DA493B">
      <w:pPr>
        <w:pStyle w:val="Sumrio1"/>
        <w:tabs>
          <w:tab w:val="right" w:leader="dot" w:pos="8494"/>
        </w:tabs>
        <w:rPr>
          <w:rFonts w:ascii="Tahoma" w:hAnsi="Tahoma" w:cs="Tahoma"/>
          <w:b w:val="0"/>
          <w:bCs w:val="0"/>
          <w:caps w:val="0"/>
          <w:noProof/>
          <w:sz w:val="22"/>
          <w:szCs w:val="22"/>
        </w:rPr>
      </w:pPr>
      <w:r w:rsidRPr="00DA493B">
        <w:rPr>
          <w:rFonts w:ascii="Tahoma" w:hAnsi="Tahoma" w:cs="Tahoma"/>
          <w:noProof/>
          <w:color w:val="002060"/>
        </w:rPr>
        <w:t>ASPECTOS LEGAIS DA RESOLUÇÃO CMN 3.922/2010 E ALTERAÇÕES 4.604</w:t>
      </w:r>
      <w:r w:rsidRPr="00DA493B">
        <w:rPr>
          <w:rFonts w:ascii="Tahoma" w:hAnsi="Tahoma" w:cs="Tahoma"/>
          <w:noProof/>
        </w:rPr>
        <w:tab/>
      </w:r>
      <w:r w:rsidR="00416998">
        <w:rPr>
          <w:rFonts w:ascii="Tahoma" w:hAnsi="Tahoma" w:cs="Tahoma"/>
          <w:noProof/>
        </w:rPr>
        <w:t>8</w:t>
      </w:r>
    </w:p>
    <w:p w:rsidR="00DA493B" w:rsidRPr="00DA493B" w:rsidRDefault="00DA493B" w:rsidP="00DA493B">
      <w:pPr>
        <w:pStyle w:val="Sumrio1"/>
        <w:tabs>
          <w:tab w:val="right" w:leader="dot" w:pos="8494"/>
        </w:tabs>
        <w:rPr>
          <w:rFonts w:ascii="Tahoma" w:hAnsi="Tahoma" w:cs="Tahoma"/>
          <w:b w:val="0"/>
          <w:bCs w:val="0"/>
          <w:caps w:val="0"/>
          <w:noProof/>
          <w:sz w:val="22"/>
          <w:szCs w:val="22"/>
        </w:rPr>
      </w:pPr>
      <w:r w:rsidRPr="00DA493B">
        <w:rPr>
          <w:rFonts w:ascii="Tahoma" w:hAnsi="Tahoma" w:cs="Tahoma"/>
          <w:noProof/>
          <w:color w:val="002060"/>
        </w:rPr>
        <w:t>CONJUNTURA ECONÔMICA E ANÁLISE DE MERCADO</w:t>
      </w:r>
      <w:r w:rsidRPr="00DA493B">
        <w:rPr>
          <w:rFonts w:ascii="Tahoma" w:hAnsi="Tahoma" w:cs="Tahoma"/>
          <w:noProof/>
        </w:rPr>
        <w:tab/>
      </w:r>
      <w:r w:rsidR="00416998">
        <w:rPr>
          <w:rFonts w:ascii="Tahoma" w:hAnsi="Tahoma" w:cs="Tahoma"/>
          <w:noProof/>
        </w:rPr>
        <w:t>10</w:t>
      </w:r>
    </w:p>
    <w:p w:rsidR="00DA493B" w:rsidRPr="00DA493B" w:rsidRDefault="00DA493B" w:rsidP="00DA493B">
      <w:pPr>
        <w:pStyle w:val="Sumrio2"/>
        <w:tabs>
          <w:tab w:val="right" w:leader="dot" w:pos="8494"/>
        </w:tabs>
        <w:rPr>
          <w:rFonts w:ascii="Tahoma" w:hAnsi="Tahoma" w:cs="Tahoma"/>
          <w:smallCaps w:val="0"/>
          <w:noProof/>
          <w:sz w:val="22"/>
          <w:szCs w:val="22"/>
        </w:rPr>
      </w:pPr>
      <w:r w:rsidRPr="00DA493B">
        <w:rPr>
          <w:rFonts w:ascii="Tahoma" w:hAnsi="Tahoma" w:cs="Tahoma"/>
          <w:b/>
          <w:noProof/>
        </w:rPr>
        <w:t>Economia Mundial e taxa de câmbio</w:t>
      </w:r>
      <w:r w:rsidRPr="00DA493B">
        <w:rPr>
          <w:rFonts w:ascii="Tahoma" w:hAnsi="Tahoma" w:cs="Tahoma"/>
          <w:noProof/>
        </w:rPr>
        <w:tab/>
      </w:r>
      <w:r w:rsidR="00F5397C">
        <w:rPr>
          <w:rFonts w:ascii="Tahoma" w:hAnsi="Tahoma" w:cs="Tahoma"/>
          <w:noProof/>
        </w:rPr>
        <w:t>11</w:t>
      </w:r>
    </w:p>
    <w:p w:rsidR="00DA493B" w:rsidRPr="00DA493B" w:rsidRDefault="00DA493B" w:rsidP="00DA493B">
      <w:pPr>
        <w:pStyle w:val="Sumrio2"/>
        <w:tabs>
          <w:tab w:val="right" w:leader="dot" w:pos="8494"/>
        </w:tabs>
        <w:rPr>
          <w:rFonts w:ascii="Tahoma" w:hAnsi="Tahoma" w:cs="Tahoma"/>
          <w:smallCaps w:val="0"/>
          <w:noProof/>
          <w:sz w:val="22"/>
          <w:szCs w:val="22"/>
        </w:rPr>
      </w:pPr>
      <w:r w:rsidRPr="00DA493B">
        <w:rPr>
          <w:rFonts w:ascii="Tahoma" w:hAnsi="Tahoma" w:cs="Tahoma"/>
          <w:b/>
          <w:noProof/>
        </w:rPr>
        <w:t>Taxa de Juros, Inflação e Política Monetária</w:t>
      </w:r>
      <w:r w:rsidRPr="00DA493B">
        <w:rPr>
          <w:rFonts w:ascii="Tahoma" w:hAnsi="Tahoma" w:cs="Tahoma"/>
          <w:noProof/>
        </w:rPr>
        <w:tab/>
      </w:r>
      <w:r w:rsidR="00F5397C">
        <w:rPr>
          <w:rFonts w:ascii="Tahoma" w:hAnsi="Tahoma" w:cs="Tahoma"/>
          <w:noProof/>
        </w:rPr>
        <w:t>13</w:t>
      </w:r>
    </w:p>
    <w:p w:rsidR="00DA493B" w:rsidRPr="00DA493B" w:rsidRDefault="00DA493B" w:rsidP="00DA493B">
      <w:pPr>
        <w:pStyle w:val="Sumrio2"/>
        <w:tabs>
          <w:tab w:val="right" w:leader="dot" w:pos="8494"/>
        </w:tabs>
        <w:rPr>
          <w:rFonts w:ascii="Tahoma" w:hAnsi="Tahoma" w:cs="Tahoma"/>
          <w:smallCaps w:val="0"/>
          <w:noProof/>
          <w:sz w:val="22"/>
          <w:szCs w:val="22"/>
        </w:rPr>
      </w:pPr>
      <w:r w:rsidRPr="00DA493B">
        <w:rPr>
          <w:rFonts w:ascii="Tahoma" w:hAnsi="Tahoma" w:cs="Tahoma"/>
          <w:b/>
          <w:noProof/>
        </w:rPr>
        <w:t>Atividade Econômica e Produto Interno Bruto</w:t>
      </w:r>
      <w:r w:rsidRPr="00DA493B">
        <w:rPr>
          <w:rFonts w:ascii="Tahoma" w:hAnsi="Tahoma" w:cs="Tahoma"/>
          <w:noProof/>
        </w:rPr>
        <w:tab/>
      </w:r>
      <w:r w:rsidR="00F5397C">
        <w:rPr>
          <w:rFonts w:ascii="Tahoma" w:hAnsi="Tahoma" w:cs="Tahoma"/>
          <w:noProof/>
        </w:rPr>
        <w:t>14</w:t>
      </w:r>
    </w:p>
    <w:p w:rsidR="00DA493B" w:rsidRPr="00DA493B" w:rsidRDefault="00DA493B" w:rsidP="00DA493B">
      <w:pPr>
        <w:pStyle w:val="Sumrio1"/>
        <w:tabs>
          <w:tab w:val="right" w:leader="dot" w:pos="8494"/>
        </w:tabs>
        <w:rPr>
          <w:rFonts w:ascii="Tahoma" w:hAnsi="Tahoma" w:cs="Tahoma"/>
          <w:b w:val="0"/>
          <w:bCs w:val="0"/>
          <w:caps w:val="0"/>
          <w:noProof/>
          <w:sz w:val="22"/>
          <w:szCs w:val="22"/>
        </w:rPr>
      </w:pPr>
      <w:r w:rsidRPr="00DA493B">
        <w:rPr>
          <w:rFonts w:ascii="Tahoma" w:hAnsi="Tahoma" w:cs="Tahoma"/>
          <w:noProof/>
        </w:rPr>
        <w:t>EXPECTATIVAS DO MERCADO FINANCEIRO 201</w:t>
      </w:r>
      <w:r w:rsidR="00564AED">
        <w:rPr>
          <w:rFonts w:ascii="Tahoma" w:hAnsi="Tahoma" w:cs="Tahoma"/>
          <w:noProof/>
        </w:rPr>
        <w:t>8</w:t>
      </w:r>
      <w:r w:rsidRPr="00DA493B">
        <w:rPr>
          <w:rFonts w:ascii="Tahoma" w:hAnsi="Tahoma" w:cs="Tahoma"/>
          <w:noProof/>
        </w:rPr>
        <w:t>/201</w:t>
      </w:r>
      <w:r w:rsidR="00564AED">
        <w:rPr>
          <w:rFonts w:ascii="Tahoma" w:hAnsi="Tahoma" w:cs="Tahoma"/>
          <w:noProof/>
        </w:rPr>
        <w:t>9</w:t>
      </w:r>
      <w:r w:rsidRPr="00DA493B">
        <w:rPr>
          <w:rFonts w:ascii="Tahoma" w:hAnsi="Tahoma" w:cs="Tahoma"/>
          <w:noProof/>
        </w:rPr>
        <w:t xml:space="preserve"> - BRASIL</w:t>
      </w:r>
      <w:r w:rsidR="00416998">
        <w:rPr>
          <w:rFonts w:ascii="Tahoma" w:hAnsi="Tahoma" w:cs="Tahoma"/>
          <w:noProof/>
        </w:rPr>
        <w:t>eiro</w:t>
      </w:r>
      <w:r w:rsidRPr="00DA493B">
        <w:rPr>
          <w:rFonts w:ascii="Tahoma" w:hAnsi="Tahoma" w:cs="Tahoma"/>
          <w:noProof/>
        </w:rPr>
        <w:tab/>
      </w:r>
      <w:r w:rsidR="00F5397C">
        <w:rPr>
          <w:rFonts w:ascii="Tahoma" w:hAnsi="Tahoma" w:cs="Tahoma"/>
          <w:noProof/>
        </w:rPr>
        <w:t>16</w:t>
      </w:r>
    </w:p>
    <w:p w:rsidR="00DA493B" w:rsidRPr="00DA493B" w:rsidRDefault="00DA493B" w:rsidP="00DA493B">
      <w:pPr>
        <w:pStyle w:val="Sumrio2"/>
        <w:tabs>
          <w:tab w:val="right" w:leader="dot" w:pos="8494"/>
        </w:tabs>
        <w:rPr>
          <w:rFonts w:ascii="Tahoma" w:hAnsi="Tahoma" w:cs="Tahoma"/>
          <w:smallCaps w:val="0"/>
          <w:noProof/>
          <w:sz w:val="22"/>
          <w:szCs w:val="22"/>
        </w:rPr>
      </w:pPr>
      <w:r w:rsidRPr="00DA493B">
        <w:rPr>
          <w:rFonts w:ascii="Tahoma" w:hAnsi="Tahoma" w:cs="Tahoma"/>
          <w:b/>
          <w:noProof/>
        </w:rPr>
        <w:t>Renda Fixa</w:t>
      </w:r>
      <w:r w:rsidRPr="00DA493B">
        <w:rPr>
          <w:rFonts w:ascii="Tahoma" w:hAnsi="Tahoma" w:cs="Tahoma"/>
          <w:noProof/>
        </w:rPr>
        <w:tab/>
      </w:r>
      <w:r w:rsidR="00F5397C">
        <w:rPr>
          <w:rFonts w:ascii="Tahoma" w:hAnsi="Tahoma" w:cs="Tahoma"/>
          <w:noProof/>
        </w:rPr>
        <w:t>16</w:t>
      </w:r>
    </w:p>
    <w:p w:rsidR="00DA493B" w:rsidRPr="00DA493B" w:rsidRDefault="00DA493B" w:rsidP="00DA493B">
      <w:pPr>
        <w:pStyle w:val="Sumrio2"/>
        <w:tabs>
          <w:tab w:val="right" w:leader="dot" w:pos="8494"/>
        </w:tabs>
        <w:rPr>
          <w:rFonts w:ascii="Tahoma" w:hAnsi="Tahoma" w:cs="Tahoma"/>
          <w:smallCaps w:val="0"/>
          <w:noProof/>
          <w:sz w:val="22"/>
          <w:szCs w:val="22"/>
        </w:rPr>
      </w:pPr>
      <w:r w:rsidRPr="00DA493B">
        <w:rPr>
          <w:rFonts w:ascii="Tahoma" w:hAnsi="Tahoma" w:cs="Tahoma"/>
          <w:b/>
          <w:noProof/>
        </w:rPr>
        <w:t>Renda Variável</w:t>
      </w:r>
      <w:r w:rsidRPr="00DA493B">
        <w:rPr>
          <w:rFonts w:ascii="Tahoma" w:hAnsi="Tahoma" w:cs="Tahoma"/>
          <w:noProof/>
        </w:rPr>
        <w:tab/>
      </w:r>
      <w:r w:rsidR="00F5397C">
        <w:rPr>
          <w:rFonts w:ascii="Tahoma" w:hAnsi="Tahoma" w:cs="Tahoma"/>
          <w:noProof/>
        </w:rPr>
        <w:t>19</w:t>
      </w:r>
    </w:p>
    <w:p w:rsidR="00DA493B" w:rsidRPr="00DA493B" w:rsidRDefault="00DA493B" w:rsidP="00DA493B">
      <w:pPr>
        <w:pStyle w:val="Sumrio1"/>
        <w:tabs>
          <w:tab w:val="right" w:leader="dot" w:pos="8494"/>
        </w:tabs>
        <w:rPr>
          <w:rFonts w:ascii="Tahoma" w:hAnsi="Tahoma" w:cs="Tahoma"/>
          <w:b w:val="0"/>
          <w:bCs w:val="0"/>
          <w:caps w:val="0"/>
          <w:noProof/>
          <w:sz w:val="22"/>
          <w:szCs w:val="22"/>
        </w:rPr>
      </w:pPr>
      <w:r w:rsidRPr="00DA493B">
        <w:rPr>
          <w:rFonts w:ascii="Tahoma" w:hAnsi="Tahoma" w:cs="Tahoma"/>
          <w:noProof/>
        </w:rPr>
        <w:t>CONSIDERAÇÕES GERAIS – CENÁRIO 201</w:t>
      </w:r>
      <w:r w:rsidR="00564AED">
        <w:rPr>
          <w:rFonts w:ascii="Tahoma" w:hAnsi="Tahoma" w:cs="Tahoma"/>
          <w:noProof/>
        </w:rPr>
        <w:t>8</w:t>
      </w:r>
      <w:r w:rsidRPr="00DA493B">
        <w:rPr>
          <w:rFonts w:ascii="Tahoma" w:hAnsi="Tahoma" w:cs="Tahoma"/>
          <w:noProof/>
        </w:rPr>
        <w:t>/201</w:t>
      </w:r>
      <w:r w:rsidR="00564AED">
        <w:rPr>
          <w:rFonts w:ascii="Tahoma" w:hAnsi="Tahoma" w:cs="Tahoma"/>
          <w:noProof/>
        </w:rPr>
        <w:t>9</w:t>
      </w:r>
      <w:r w:rsidRPr="00DA493B">
        <w:rPr>
          <w:rFonts w:ascii="Tahoma" w:hAnsi="Tahoma" w:cs="Tahoma"/>
          <w:noProof/>
        </w:rPr>
        <w:tab/>
      </w:r>
      <w:r w:rsidR="00F5397C">
        <w:rPr>
          <w:rFonts w:ascii="Tahoma" w:hAnsi="Tahoma" w:cs="Tahoma"/>
          <w:noProof/>
        </w:rPr>
        <w:t>21</w:t>
      </w:r>
    </w:p>
    <w:p w:rsidR="00DA493B" w:rsidRPr="00DA493B" w:rsidRDefault="00DA493B" w:rsidP="00DA493B">
      <w:pPr>
        <w:pStyle w:val="Sumrio1"/>
        <w:tabs>
          <w:tab w:val="right" w:leader="dot" w:pos="8494"/>
        </w:tabs>
        <w:rPr>
          <w:rFonts w:ascii="Tahoma" w:hAnsi="Tahoma" w:cs="Tahoma"/>
          <w:b w:val="0"/>
          <w:bCs w:val="0"/>
          <w:caps w:val="0"/>
          <w:noProof/>
          <w:sz w:val="22"/>
          <w:szCs w:val="22"/>
        </w:rPr>
      </w:pPr>
      <w:r w:rsidRPr="00DA493B">
        <w:rPr>
          <w:rFonts w:ascii="Tahoma" w:hAnsi="Tahoma" w:cs="Tahoma"/>
          <w:noProof/>
        </w:rPr>
        <w:t>CONTROLE DE RISCOS</w:t>
      </w:r>
      <w:r w:rsidRPr="00DA493B">
        <w:rPr>
          <w:rFonts w:ascii="Tahoma" w:hAnsi="Tahoma" w:cs="Tahoma"/>
          <w:noProof/>
        </w:rPr>
        <w:tab/>
      </w:r>
      <w:r w:rsidR="00F5397C">
        <w:rPr>
          <w:rFonts w:ascii="Tahoma" w:hAnsi="Tahoma" w:cs="Tahoma"/>
          <w:noProof/>
        </w:rPr>
        <w:t>22</w:t>
      </w:r>
    </w:p>
    <w:p w:rsidR="00DA493B" w:rsidRPr="00DA493B" w:rsidRDefault="00DA493B" w:rsidP="00DA493B">
      <w:pPr>
        <w:pStyle w:val="Sumrio1"/>
        <w:tabs>
          <w:tab w:val="right" w:leader="dot" w:pos="8494"/>
        </w:tabs>
        <w:rPr>
          <w:rFonts w:ascii="Tahoma" w:hAnsi="Tahoma" w:cs="Tahoma"/>
          <w:b w:val="0"/>
          <w:bCs w:val="0"/>
          <w:caps w:val="0"/>
          <w:noProof/>
          <w:sz w:val="22"/>
          <w:szCs w:val="22"/>
        </w:rPr>
      </w:pPr>
      <w:r w:rsidRPr="00DA493B">
        <w:rPr>
          <w:rFonts w:ascii="Tahoma" w:hAnsi="Tahoma" w:cs="Tahoma"/>
          <w:noProof/>
        </w:rPr>
        <w:t>GLOSSÁRIO</w:t>
      </w:r>
      <w:r w:rsidRPr="00DA493B">
        <w:rPr>
          <w:rFonts w:ascii="Tahoma" w:hAnsi="Tahoma" w:cs="Tahoma"/>
          <w:noProof/>
        </w:rPr>
        <w:tab/>
      </w:r>
      <w:r w:rsidR="00F5397C">
        <w:rPr>
          <w:rFonts w:ascii="Tahoma" w:hAnsi="Tahoma" w:cs="Tahoma"/>
          <w:noProof/>
        </w:rPr>
        <w:t>23</w:t>
      </w:r>
    </w:p>
    <w:p w:rsidR="00DA493B" w:rsidRPr="00DA493B" w:rsidRDefault="00DA493B" w:rsidP="00DA493B">
      <w:pPr>
        <w:pStyle w:val="Sumrio1"/>
        <w:tabs>
          <w:tab w:val="right" w:leader="dot" w:pos="8494"/>
        </w:tabs>
        <w:rPr>
          <w:rFonts w:ascii="Tahoma" w:hAnsi="Tahoma" w:cs="Tahoma"/>
          <w:b w:val="0"/>
          <w:bCs w:val="0"/>
          <w:caps w:val="0"/>
          <w:noProof/>
          <w:sz w:val="22"/>
          <w:szCs w:val="22"/>
        </w:rPr>
      </w:pPr>
      <w:r w:rsidRPr="00DA493B">
        <w:rPr>
          <w:rFonts w:ascii="Tahoma" w:hAnsi="Tahoma" w:cs="Tahoma"/>
          <w:noProof/>
          <w:color w:val="002060"/>
        </w:rPr>
        <w:t>DIRETRIZES PARA ALOCAÇÃO DOS RECURSOS</w:t>
      </w:r>
      <w:r w:rsidRPr="00DA493B">
        <w:rPr>
          <w:rFonts w:ascii="Tahoma" w:hAnsi="Tahoma" w:cs="Tahoma"/>
          <w:noProof/>
        </w:rPr>
        <w:tab/>
      </w:r>
      <w:r w:rsidR="00F5397C">
        <w:rPr>
          <w:rFonts w:ascii="Tahoma" w:hAnsi="Tahoma" w:cs="Tahoma"/>
          <w:noProof/>
        </w:rPr>
        <w:t>25</w:t>
      </w:r>
    </w:p>
    <w:p w:rsidR="00DA493B" w:rsidRPr="00DA493B" w:rsidRDefault="00DA493B" w:rsidP="00DA493B">
      <w:pPr>
        <w:pStyle w:val="Sumrio2"/>
        <w:tabs>
          <w:tab w:val="right" w:leader="dot" w:pos="8494"/>
        </w:tabs>
        <w:rPr>
          <w:rFonts w:ascii="Tahoma" w:hAnsi="Tahoma" w:cs="Tahoma"/>
          <w:smallCaps w:val="0"/>
          <w:noProof/>
          <w:sz w:val="22"/>
          <w:szCs w:val="22"/>
        </w:rPr>
      </w:pPr>
      <w:r w:rsidRPr="00DA493B">
        <w:rPr>
          <w:rFonts w:ascii="Tahoma" w:hAnsi="Tahoma" w:cs="Tahoma"/>
          <w:b/>
          <w:noProof/>
        </w:rPr>
        <w:t>Das Diretrizes</w:t>
      </w:r>
      <w:r w:rsidRPr="00DA493B">
        <w:rPr>
          <w:rFonts w:ascii="Tahoma" w:hAnsi="Tahoma" w:cs="Tahoma"/>
          <w:noProof/>
        </w:rPr>
        <w:tab/>
      </w:r>
      <w:r w:rsidR="00F5397C">
        <w:rPr>
          <w:rFonts w:ascii="Tahoma" w:hAnsi="Tahoma" w:cs="Tahoma"/>
          <w:noProof/>
        </w:rPr>
        <w:t>25</w:t>
      </w:r>
    </w:p>
    <w:p w:rsidR="00DA493B" w:rsidRPr="00DA493B" w:rsidRDefault="00DA493B" w:rsidP="00DA493B">
      <w:pPr>
        <w:pStyle w:val="Sumrio2"/>
        <w:tabs>
          <w:tab w:val="right" w:leader="dot" w:pos="8494"/>
        </w:tabs>
        <w:rPr>
          <w:rFonts w:ascii="Tahoma" w:hAnsi="Tahoma" w:cs="Tahoma"/>
          <w:smallCaps w:val="0"/>
          <w:noProof/>
          <w:sz w:val="22"/>
          <w:szCs w:val="22"/>
        </w:rPr>
      </w:pPr>
      <w:r w:rsidRPr="00DA493B">
        <w:rPr>
          <w:rFonts w:ascii="Tahoma" w:hAnsi="Tahoma" w:cs="Tahoma"/>
          <w:noProof/>
        </w:rPr>
        <w:t>Das Alocações dos Recursos</w:t>
      </w:r>
      <w:r w:rsidRPr="00DA493B">
        <w:rPr>
          <w:rFonts w:ascii="Tahoma" w:hAnsi="Tahoma" w:cs="Tahoma"/>
          <w:noProof/>
        </w:rPr>
        <w:tab/>
      </w:r>
      <w:r w:rsidR="00F5397C">
        <w:rPr>
          <w:rFonts w:ascii="Tahoma" w:hAnsi="Tahoma" w:cs="Tahoma"/>
          <w:noProof/>
        </w:rPr>
        <w:t>27</w:t>
      </w:r>
    </w:p>
    <w:p w:rsidR="00DA493B" w:rsidRPr="00DA493B" w:rsidRDefault="00DA493B" w:rsidP="00A8544A">
      <w:pPr>
        <w:pStyle w:val="Sumrio3"/>
        <w:tabs>
          <w:tab w:val="clear" w:pos="7360"/>
          <w:tab w:val="right" w:leader="dot" w:pos="8504"/>
        </w:tabs>
        <w:rPr>
          <w:iCs w:val="0"/>
          <w:sz w:val="22"/>
          <w:szCs w:val="22"/>
        </w:rPr>
      </w:pPr>
      <w:r w:rsidRPr="00DA493B">
        <w:t>Dos Segmentos</w:t>
      </w:r>
      <w:r w:rsidRPr="00DA493B">
        <w:tab/>
      </w:r>
      <w:r w:rsidR="00F5397C">
        <w:t>27</w:t>
      </w:r>
    </w:p>
    <w:p w:rsidR="00DA493B" w:rsidRPr="00DA493B" w:rsidRDefault="00DA493B" w:rsidP="00A8544A">
      <w:pPr>
        <w:pStyle w:val="Sumrio3"/>
        <w:tabs>
          <w:tab w:val="clear" w:pos="7360"/>
          <w:tab w:val="right" w:leader="dot" w:pos="8504"/>
        </w:tabs>
        <w:rPr>
          <w:iCs w:val="0"/>
          <w:sz w:val="22"/>
          <w:szCs w:val="22"/>
        </w:rPr>
      </w:pPr>
      <w:r w:rsidRPr="00DA493B">
        <w:t>Dos Limites Gerais</w:t>
      </w:r>
      <w:r w:rsidRPr="00DA493B">
        <w:tab/>
      </w:r>
      <w:r w:rsidR="00F5397C">
        <w:t>28</w:t>
      </w:r>
    </w:p>
    <w:p w:rsidR="00DA493B" w:rsidRPr="00DA493B" w:rsidRDefault="00DA493B" w:rsidP="00A8544A">
      <w:pPr>
        <w:pStyle w:val="Sumrio3"/>
        <w:tabs>
          <w:tab w:val="clear" w:pos="7360"/>
          <w:tab w:val="right" w:leader="dot" w:pos="8504"/>
        </w:tabs>
        <w:rPr>
          <w:iCs w:val="0"/>
          <w:sz w:val="22"/>
          <w:szCs w:val="22"/>
        </w:rPr>
      </w:pPr>
      <w:r w:rsidRPr="00DA493B">
        <w:t>Da Avaliação de Desempenho das Aplicações</w:t>
      </w:r>
      <w:r w:rsidRPr="00DA493B">
        <w:tab/>
      </w:r>
      <w:r w:rsidR="00F5397C">
        <w:t>28</w:t>
      </w:r>
    </w:p>
    <w:p w:rsidR="00DA493B" w:rsidRPr="00DA493B" w:rsidRDefault="00DA493B" w:rsidP="00A8544A">
      <w:pPr>
        <w:pStyle w:val="Sumrio3"/>
        <w:tabs>
          <w:tab w:val="clear" w:pos="7360"/>
          <w:tab w:val="right" w:leader="dot" w:pos="8504"/>
        </w:tabs>
        <w:rPr>
          <w:iCs w:val="0"/>
          <w:sz w:val="22"/>
          <w:szCs w:val="22"/>
        </w:rPr>
      </w:pPr>
      <w:r w:rsidRPr="00DA493B">
        <w:t>Dos Riscos de Mercado e Crédito</w:t>
      </w:r>
      <w:r w:rsidRPr="00DA493B">
        <w:tab/>
      </w:r>
      <w:r w:rsidR="00F5397C">
        <w:t>29</w:t>
      </w:r>
    </w:p>
    <w:p w:rsidR="00DA493B" w:rsidRPr="00DA493B" w:rsidRDefault="00DA493B" w:rsidP="00DA493B">
      <w:pPr>
        <w:pStyle w:val="Sumrio1"/>
        <w:tabs>
          <w:tab w:val="right" w:leader="dot" w:pos="8494"/>
        </w:tabs>
        <w:rPr>
          <w:rFonts w:ascii="Tahoma" w:hAnsi="Tahoma" w:cs="Tahoma"/>
          <w:b w:val="0"/>
          <w:bCs w:val="0"/>
          <w:caps w:val="0"/>
          <w:noProof/>
          <w:sz w:val="22"/>
          <w:szCs w:val="22"/>
        </w:rPr>
      </w:pPr>
      <w:r w:rsidRPr="00DA493B">
        <w:rPr>
          <w:rFonts w:ascii="Tahoma" w:hAnsi="Tahoma" w:cs="Tahoma"/>
          <w:noProof/>
          <w:color w:val="002060"/>
        </w:rPr>
        <w:t>ESTRATÉGIA PARA ALOCAÇÃO DE RECURSOS</w:t>
      </w:r>
      <w:r w:rsidRPr="00DA493B">
        <w:rPr>
          <w:rFonts w:ascii="Tahoma" w:hAnsi="Tahoma" w:cs="Tahoma"/>
          <w:noProof/>
        </w:rPr>
        <w:tab/>
      </w:r>
      <w:r w:rsidR="00F5397C">
        <w:rPr>
          <w:rFonts w:ascii="Tahoma" w:hAnsi="Tahoma" w:cs="Tahoma"/>
          <w:noProof/>
        </w:rPr>
        <w:t>31</w:t>
      </w:r>
    </w:p>
    <w:p w:rsidR="00DA493B" w:rsidRPr="00DA493B" w:rsidRDefault="00DA493B" w:rsidP="00DA493B">
      <w:pPr>
        <w:pStyle w:val="Sumrio1"/>
        <w:tabs>
          <w:tab w:val="right" w:leader="dot" w:pos="8494"/>
        </w:tabs>
        <w:rPr>
          <w:rFonts w:ascii="Tahoma" w:hAnsi="Tahoma" w:cs="Tahoma"/>
          <w:b w:val="0"/>
          <w:bCs w:val="0"/>
          <w:caps w:val="0"/>
          <w:noProof/>
          <w:sz w:val="22"/>
          <w:szCs w:val="22"/>
        </w:rPr>
      </w:pPr>
      <w:r w:rsidRPr="00DA493B">
        <w:rPr>
          <w:rFonts w:ascii="Tahoma" w:hAnsi="Tahoma" w:cs="Tahoma"/>
          <w:noProof/>
        </w:rPr>
        <w:t>VEDAÇÕES</w:t>
      </w:r>
      <w:r w:rsidRPr="00DA493B">
        <w:rPr>
          <w:rFonts w:ascii="Tahoma" w:hAnsi="Tahoma" w:cs="Tahoma"/>
          <w:noProof/>
        </w:rPr>
        <w:tab/>
      </w:r>
      <w:r w:rsidR="00F5397C">
        <w:rPr>
          <w:rFonts w:ascii="Tahoma" w:hAnsi="Tahoma" w:cs="Tahoma"/>
          <w:noProof/>
        </w:rPr>
        <w:t>32</w:t>
      </w:r>
    </w:p>
    <w:p w:rsidR="00DA493B" w:rsidRPr="00DA493B" w:rsidRDefault="00DA493B" w:rsidP="00DA493B">
      <w:pPr>
        <w:pStyle w:val="Sumrio1"/>
        <w:tabs>
          <w:tab w:val="right" w:leader="dot" w:pos="8494"/>
        </w:tabs>
        <w:rPr>
          <w:rFonts w:ascii="Tahoma" w:hAnsi="Tahoma" w:cs="Tahoma"/>
          <w:b w:val="0"/>
          <w:bCs w:val="0"/>
          <w:caps w:val="0"/>
          <w:noProof/>
          <w:sz w:val="22"/>
          <w:szCs w:val="22"/>
        </w:rPr>
      </w:pPr>
      <w:r w:rsidRPr="00DA493B">
        <w:rPr>
          <w:rFonts w:ascii="Tahoma" w:hAnsi="Tahoma" w:cs="Tahoma"/>
          <w:noProof/>
        </w:rPr>
        <w:t>DISPOSIÇÕES GERAIS</w:t>
      </w:r>
      <w:r w:rsidRPr="00DA493B">
        <w:rPr>
          <w:rFonts w:ascii="Tahoma" w:hAnsi="Tahoma" w:cs="Tahoma"/>
          <w:noProof/>
        </w:rPr>
        <w:tab/>
      </w:r>
      <w:r w:rsidR="00F5397C">
        <w:rPr>
          <w:rFonts w:ascii="Tahoma" w:hAnsi="Tahoma" w:cs="Tahoma"/>
          <w:noProof/>
        </w:rPr>
        <w:t>33</w:t>
      </w:r>
    </w:p>
    <w:p w:rsidR="00DA493B" w:rsidRPr="00DA493B" w:rsidRDefault="00DA493B" w:rsidP="00DA493B">
      <w:pPr>
        <w:pStyle w:val="Sumrio1"/>
        <w:tabs>
          <w:tab w:val="right" w:leader="dot" w:pos="8494"/>
        </w:tabs>
        <w:rPr>
          <w:rFonts w:ascii="Tahoma" w:hAnsi="Tahoma" w:cs="Tahoma"/>
          <w:b w:val="0"/>
          <w:bCs w:val="0"/>
          <w:caps w:val="0"/>
          <w:noProof/>
          <w:sz w:val="22"/>
          <w:szCs w:val="22"/>
        </w:rPr>
      </w:pPr>
      <w:r w:rsidRPr="00DA493B">
        <w:rPr>
          <w:rFonts w:ascii="Tahoma" w:hAnsi="Tahoma" w:cs="Tahoma"/>
          <w:noProof/>
        </w:rPr>
        <w:t>ANEXO I</w:t>
      </w:r>
      <w:r w:rsidRPr="00DA493B">
        <w:rPr>
          <w:rFonts w:ascii="Tahoma" w:hAnsi="Tahoma" w:cs="Tahoma"/>
          <w:noProof/>
        </w:rPr>
        <w:tab/>
      </w:r>
      <w:r w:rsidR="00F5397C">
        <w:rPr>
          <w:rFonts w:ascii="Tahoma" w:hAnsi="Tahoma" w:cs="Tahoma"/>
          <w:noProof/>
        </w:rPr>
        <w:t>35</w:t>
      </w:r>
    </w:p>
    <w:p w:rsidR="00DA493B" w:rsidRPr="00EA13DD" w:rsidRDefault="00C5789C" w:rsidP="00DA493B">
      <w:pPr>
        <w:spacing w:before="40" w:line="360" w:lineRule="auto"/>
        <w:rPr>
          <w:rFonts w:ascii="Tahoma" w:hAnsi="Tahoma" w:cs="Tahoma"/>
          <w:sz w:val="20"/>
          <w:szCs w:val="20"/>
        </w:rPr>
        <w:sectPr w:rsidR="00DA493B" w:rsidRPr="00EA13DD" w:rsidSect="00C44074">
          <w:pgSz w:w="11906" w:h="16838"/>
          <w:pgMar w:top="1701" w:right="1701" w:bottom="1418" w:left="1701" w:header="709" w:footer="709" w:gutter="0"/>
          <w:cols w:space="708"/>
          <w:docGrid w:linePitch="360"/>
        </w:sectPr>
      </w:pPr>
      <w:r w:rsidRPr="00DA493B">
        <w:rPr>
          <w:rFonts w:ascii="Tahoma" w:hAnsi="Tahoma" w:cs="Tahoma"/>
          <w:b/>
          <w:bCs/>
          <w:caps/>
          <w:sz w:val="20"/>
          <w:szCs w:val="20"/>
        </w:rPr>
        <w:fldChar w:fldCharType="end"/>
      </w:r>
    </w:p>
    <w:bookmarkStart w:id="7" w:name="_Toc496874695"/>
    <w:p w:rsidR="00401637" w:rsidRPr="00D63B08" w:rsidRDefault="003A4DF8" w:rsidP="00D63B08">
      <w:pPr>
        <w:spacing w:after="120"/>
        <w:jc w:val="both"/>
        <w:outlineLvl w:val="0"/>
      </w:pPr>
      <w:r w:rsidRPr="00E4782B">
        <w:object w:dxaOrig="2425" w:dyaOrig="2598">
          <v:shape id="_x0000_i1028" type="#_x0000_t75" style="width:9.75pt;height:9.75pt" o:ole="">
            <v:imagedata r:id="rId8" o:title=""/>
          </v:shape>
          <o:OLEObject Type="Embed" ProgID="CorelDRAW.Graphic.13" ShapeID="_x0000_i1028" DrawAspect="Content" ObjectID="_1608620651" r:id="rId13"/>
        </w:object>
      </w:r>
      <w:r w:rsidR="00A03473" w:rsidRPr="00310447">
        <w:rPr>
          <w:rStyle w:val="Ttulo1Char"/>
        </w:rPr>
        <w:t>APRESENTAÇÃO</w:t>
      </w:r>
      <w:bookmarkEnd w:id="5"/>
      <w:bookmarkEnd w:id="7"/>
      <w:r w:rsidRPr="00E4782B">
        <w:object w:dxaOrig="3163" w:dyaOrig="3187">
          <v:shape id="_x0000_i1029" type="#_x0000_t75" style="width:23.25pt;height:23.25pt" o:ole="">
            <v:imagedata r:id="rId10" o:title=""/>
          </v:shape>
          <o:OLEObject Type="Embed" ProgID="CorelDRAW.Graphic.13" ShapeID="_x0000_i1029" DrawAspect="Content" ObjectID="_1608620652" r:id="rId14"/>
        </w:object>
      </w:r>
      <w:bookmarkEnd w:id="6"/>
    </w:p>
    <w:p w:rsidR="009D10EB" w:rsidRPr="00E8601E" w:rsidRDefault="00A63C41" w:rsidP="00310447">
      <w:pPr>
        <w:pStyle w:val="Subttulo"/>
        <w:rPr>
          <w:sz w:val="20"/>
        </w:rPr>
      </w:pPr>
      <w:bookmarkStart w:id="8" w:name="_Toc436036976"/>
      <w:bookmarkStart w:id="9" w:name="_Toc496874696"/>
      <w:r w:rsidRPr="00E8601E">
        <w:rPr>
          <w:sz w:val="20"/>
        </w:rPr>
        <w:t>Do O</w:t>
      </w:r>
      <w:r w:rsidRPr="00E8601E">
        <w:rPr>
          <w:rStyle w:val="SubttuloChar"/>
          <w:b/>
          <w:sz w:val="20"/>
        </w:rPr>
        <w:t>bjet</w:t>
      </w:r>
      <w:r w:rsidRPr="00E8601E">
        <w:rPr>
          <w:sz w:val="20"/>
        </w:rPr>
        <w:t>o</w:t>
      </w:r>
      <w:bookmarkEnd w:id="8"/>
      <w:bookmarkEnd w:id="9"/>
    </w:p>
    <w:p w:rsidR="00344EA0" w:rsidRPr="00E8601E" w:rsidRDefault="007C6961" w:rsidP="0023730B">
      <w:pPr>
        <w:spacing w:after="120"/>
        <w:jc w:val="both"/>
        <w:rPr>
          <w:rFonts w:ascii="Tahoma" w:hAnsi="Tahoma" w:cs="Tahoma"/>
          <w:sz w:val="20"/>
        </w:rPr>
      </w:pPr>
      <w:r w:rsidRPr="00E8601E">
        <w:rPr>
          <w:rFonts w:ascii="Tahoma" w:hAnsi="Tahoma" w:cs="Tahoma"/>
          <w:sz w:val="20"/>
        </w:rPr>
        <w:t>Esta Política de Investimentos d</w:t>
      </w:r>
      <w:r w:rsidR="00DD42F3" w:rsidRPr="00E8601E">
        <w:rPr>
          <w:rFonts w:ascii="Tahoma" w:hAnsi="Tahoma" w:cs="Tahoma"/>
          <w:sz w:val="20"/>
        </w:rPr>
        <w:t>ispõe sobre as aplicações dos recursos do regime próprio de previdência social</w:t>
      </w:r>
      <w:r w:rsidR="00D76456" w:rsidRPr="00E8601E">
        <w:rPr>
          <w:rFonts w:ascii="Tahoma" w:hAnsi="Tahoma" w:cs="Tahoma"/>
          <w:sz w:val="20"/>
        </w:rPr>
        <w:t xml:space="preserve"> (RPPS)</w:t>
      </w:r>
      <w:r w:rsidR="00DD42F3" w:rsidRPr="00E8601E">
        <w:rPr>
          <w:rFonts w:ascii="Tahoma" w:hAnsi="Tahoma" w:cs="Tahoma"/>
          <w:sz w:val="20"/>
        </w:rPr>
        <w:t xml:space="preserve"> instituído </w:t>
      </w:r>
      <w:r w:rsidR="00DD42F3" w:rsidRPr="00344EA0">
        <w:rPr>
          <w:rFonts w:ascii="Tahoma" w:hAnsi="Tahoma" w:cs="Tahoma"/>
          <w:sz w:val="20"/>
        </w:rPr>
        <w:t>pel</w:t>
      </w:r>
      <w:r w:rsidRPr="00344EA0">
        <w:rPr>
          <w:rFonts w:ascii="Tahoma" w:hAnsi="Tahoma" w:cs="Tahoma"/>
          <w:sz w:val="20"/>
        </w:rPr>
        <w:t>o</w:t>
      </w:r>
      <w:bookmarkStart w:id="10" w:name="_Hlk525979095"/>
      <w:r w:rsidR="00344EA0" w:rsidRPr="00344EA0">
        <w:rPr>
          <w:rFonts w:ascii="Tahoma" w:hAnsi="Tahoma" w:cs="Tahoma"/>
          <w:b/>
          <w:sz w:val="20"/>
        </w:rPr>
        <w:t xml:space="preserve">MUNICÍPIO DE </w:t>
      </w:r>
      <w:r w:rsidR="009A5912" w:rsidRPr="009A5912">
        <w:rPr>
          <w:rFonts w:ascii="Tahoma" w:hAnsi="Tahoma" w:cs="Tahoma"/>
          <w:b/>
          <w:sz w:val="20"/>
        </w:rPr>
        <w:t>RIO DOS ÍNDIOS</w:t>
      </w:r>
      <w:bookmarkEnd w:id="10"/>
      <w:r w:rsidR="001054E9" w:rsidRPr="00344EA0">
        <w:rPr>
          <w:rFonts w:ascii="Tahoma" w:hAnsi="Tahoma" w:cs="Tahoma"/>
          <w:sz w:val="20"/>
        </w:rPr>
        <w:t>.</w:t>
      </w:r>
      <w:r w:rsidR="00DD42F3" w:rsidRPr="00E8601E">
        <w:rPr>
          <w:rFonts w:ascii="Tahoma" w:hAnsi="Tahoma" w:cs="Tahoma"/>
          <w:sz w:val="20"/>
        </w:rPr>
        <w:t xml:space="preserve">Fica estabelecido que os recursos do regime próprio de previdência social instituído, nos termos da Lei nº </w:t>
      </w:r>
      <w:r w:rsidR="003B6ABE" w:rsidRPr="00E8601E">
        <w:rPr>
          <w:rFonts w:ascii="Tahoma" w:hAnsi="Tahoma" w:cs="Tahoma"/>
          <w:sz w:val="20"/>
        </w:rPr>
        <w:t>9.717</w:t>
      </w:r>
      <w:r w:rsidR="00DD42F3" w:rsidRPr="00E8601E">
        <w:rPr>
          <w:rFonts w:ascii="Tahoma" w:hAnsi="Tahoma" w:cs="Tahoma"/>
          <w:sz w:val="20"/>
        </w:rPr>
        <w:t xml:space="preserve">, de </w:t>
      </w:r>
      <w:r w:rsidR="003B6ABE" w:rsidRPr="00E8601E">
        <w:rPr>
          <w:rFonts w:ascii="Tahoma" w:hAnsi="Tahoma" w:cs="Tahoma"/>
          <w:sz w:val="20"/>
        </w:rPr>
        <w:t>27</w:t>
      </w:r>
      <w:r w:rsidR="00DD42F3" w:rsidRPr="00E8601E">
        <w:rPr>
          <w:rFonts w:ascii="Tahoma" w:hAnsi="Tahoma" w:cs="Tahoma"/>
          <w:sz w:val="20"/>
        </w:rPr>
        <w:t xml:space="preserve"> de </w:t>
      </w:r>
      <w:r w:rsidR="0029090D" w:rsidRPr="00E8601E">
        <w:rPr>
          <w:rFonts w:ascii="Tahoma" w:hAnsi="Tahoma" w:cs="Tahoma"/>
          <w:sz w:val="20"/>
        </w:rPr>
        <w:t>novembro</w:t>
      </w:r>
      <w:r w:rsidR="00DD42F3" w:rsidRPr="00E8601E">
        <w:rPr>
          <w:rFonts w:ascii="Tahoma" w:hAnsi="Tahoma" w:cs="Tahoma"/>
          <w:sz w:val="20"/>
        </w:rPr>
        <w:t xml:space="preserve"> de </w:t>
      </w:r>
      <w:r w:rsidR="003B6ABE" w:rsidRPr="00E8601E">
        <w:rPr>
          <w:rFonts w:ascii="Tahoma" w:hAnsi="Tahoma" w:cs="Tahoma"/>
          <w:sz w:val="20"/>
        </w:rPr>
        <w:t>1998</w:t>
      </w:r>
      <w:r w:rsidR="00DD42F3" w:rsidRPr="00E8601E">
        <w:rPr>
          <w:rFonts w:ascii="Tahoma" w:hAnsi="Tahoma" w:cs="Tahoma"/>
          <w:sz w:val="20"/>
        </w:rPr>
        <w:t xml:space="preserve">, devem ser aplicados conforme </w:t>
      </w:r>
      <w:r w:rsidR="0082555B" w:rsidRPr="00E8601E">
        <w:rPr>
          <w:rFonts w:ascii="Tahoma" w:hAnsi="Tahoma" w:cs="Tahoma"/>
          <w:sz w:val="20"/>
        </w:rPr>
        <w:t xml:space="preserve">a legislação </w:t>
      </w:r>
      <w:r w:rsidR="00530D68" w:rsidRPr="00E8601E">
        <w:rPr>
          <w:rFonts w:ascii="Tahoma" w:hAnsi="Tahoma" w:cs="Tahoma"/>
          <w:sz w:val="20"/>
        </w:rPr>
        <w:t>em vigor</w:t>
      </w:r>
      <w:r w:rsidR="00DD42F3" w:rsidRPr="00E8601E">
        <w:rPr>
          <w:rFonts w:ascii="Tahoma" w:hAnsi="Tahoma" w:cs="Tahoma"/>
          <w:sz w:val="20"/>
        </w:rPr>
        <w:t>, tendo presentes as condições de segurança, rentabilidade, solvência, liquidez e transparência</w:t>
      </w:r>
      <w:r w:rsidR="0015383C" w:rsidRPr="00E8601E">
        <w:rPr>
          <w:rFonts w:ascii="Tahoma" w:hAnsi="Tahoma" w:cs="Tahoma"/>
          <w:sz w:val="20"/>
        </w:rPr>
        <w:t>.</w:t>
      </w:r>
      <w:r w:rsidR="00344EA0" w:rsidRPr="00740C8A">
        <w:rPr>
          <w:rFonts w:ascii="Tahoma" w:hAnsi="Tahoma" w:cs="Tahoma"/>
          <w:sz w:val="20"/>
        </w:rPr>
        <w:t xml:space="preserve">O </w:t>
      </w:r>
      <w:r w:rsidR="0023730B" w:rsidRPr="0023730B">
        <w:rPr>
          <w:rFonts w:ascii="Tahoma" w:hAnsi="Tahoma" w:cs="Tahoma"/>
          <w:b/>
          <w:sz w:val="20"/>
        </w:rPr>
        <w:t>FUNDO DE PREVIDÊNCIA SOCIAL DO SERVIDOR – FPSS DE RIO DOS ÍNDIOS</w:t>
      </w:r>
      <w:r w:rsidR="00344EA0" w:rsidRPr="00740C8A">
        <w:rPr>
          <w:rFonts w:ascii="Tahoma" w:hAnsi="Tahoma" w:cs="Tahoma"/>
          <w:sz w:val="20"/>
        </w:rPr>
        <w:t xml:space="preserve"> foi</w:t>
      </w:r>
      <w:r w:rsidR="00344EA0" w:rsidRPr="00C27CE8">
        <w:rPr>
          <w:rFonts w:ascii="Tahoma" w:hAnsi="Tahoma" w:cs="Tahoma"/>
          <w:sz w:val="20"/>
        </w:rPr>
        <w:t xml:space="preserve">reestruturado pela Lei n° </w:t>
      </w:r>
      <w:r w:rsidR="009A5912" w:rsidRPr="00C27CE8">
        <w:rPr>
          <w:rFonts w:ascii="Tahoma" w:hAnsi="Tahoma" w:cs="Tahoma"/>
          <w:sz w:val="20"/>
        </w:rPr>
        <w:t>769</w:t>
      </w:r>
      <w:r w:rsidR="00344EA0" w:rsidRPr="00C27CE8">
        <w:rPr>
          <w:rFonts w:ascii="Tahoma" w:hAnsi="Tahoma" w:cs="Tahoma"/>
          <w:sz w:val="20"/>
        </w:rPr>
        <w:t xml:space="preserve">  de </w:t>
      </w:r>
      <w:r w:rsidR="00C27CE8" w:rsidRPr="00C27CE8">
        <w:rPr>
          <w:rFonts w:ascii="Tahoma" w:hAnsi="Tahoma" w:cs="Tahoma"/>
          <w:sz w:val="20"/>
        </w:rPr>
        <w:t>23 de outubro</w:t>
      </w:r>
      <w:r w:rsidR="00344EA0" w:rsidRPr="00C27CE8">
        <w:rPr>
          <w:rFonts w:ascii="Tahoma" w:hAnsi="Tahoma" w:cs="Tahoma"/>
          <w:sz w:val="20"/>
        </w:rPr>
        <w:t xml:space="preserve"> de 20</w:t>
      </w:r>
      <w:r w:rsidR="00C27CE8" w:rsidRPr="00C27CE8">
        <w:rPr>
          <w:rFonts w:ascii="Tahoma" w:hAnsi="Tahoma" w:cs="Tahoma"/>
          <w:sz w:val="20"/>
        </w:rPr>
        <w:t>07</w:t>
      </w:r>
      <w:r w:rsidR="00344EA0" w:rsidRPr="00C27CE8">
        <w:rPr>
          <w:rFonts w:ascii="Tahoma" w:hAnsi="Tahoma" w:cs="Tahoma"/>
          <w:sz w:val="20"/>
        </w:rPr>
        <w:t>.</w:t>
      </w:r>
    </w:p>
    <w:p w:rsidR="00DD42F3" w:rsidRPr="00E8601E" w:rsidRDefault="00DD42F3" w:rsidP="00F71F37">
      <w:pPr>
        <w:spacing w:after="120"/>
        <w:jc w:val="both"/>
        <w:rPr>
          <w:rFonts w:ascii="Tahoma" w:hAnsi="Tahoma" w:cs="Tahoma"/>
          <w:sz w:val="20"/>
        </w:rPr>
      </w:pPr>
      <w:r w:rsidRPr="00E8601E">
        <w:rPr>
          <w:rFonts w:ascii="Tahoma" w:hAnsi="Tahoma" w:cs="Tahoma"/>
          <w:sz w:val="20"/>
        </w:rPr>
        <w:t xml:space="preserve">Observadas as limitações e condições estabelecidas </w:t>
      </w:r>
      <w:r w:rsidR="0015383C" w:rsidRPr="00E8601E">
        <w:rPr>
          <w:rFonts w:ascii="Tahoma" w:hAnsi="Tahoma" w:cs="Tahoma"/>
          <w:sz w:val="20"/>
        </w:rPr>
        <w:t>na legislação vigente</w:t>
      </w:r>
      <w:r w:rsidRPr="00E8601E">
        <w:rPr>
          <w:rFonts w:ascii="Tahoma" w:hAnsi="Tahoma" w:cs="Tahoma"/>
          <w:sz w:val="20"/>
        </w:rPr>
        <w:t>, os recursos do regime próprio de previdência social devem ser alocados</w:t>
      </w:r>
      <w:r w:rsidR="0015383C" w:rsidRPr="00E8601E">
        <w:rPr>
          <w:rFonts w:ascii="Tahoma" w:hAnsi="Tahoma" w:cs="Tahoma"/>
          <w:sz w:val="20"/>
        </w:rPr>
        <w:t>, conforme as diretrizes definidas nesta Política de Investimentos,</w:t>
      </w:r>
      <w:r w:rsidRPr="00E8601E">
        <w:rPr>
          <w:rFonts w:ascii="Tahoma" w:hAnsi="Tahoma" w:cs="Tahoma"/>
          <w:sz w:val="20"/>
        </w:rPr>
        <w:t xml:space="preserve"> nos seguintes segmentos de aplicação: renda fixa; renda variável; e imóveis.</w:t>
      </w:r>
      <w:r w:rsidR="0015383C" w:rsidRPr="00E8601E">
        <w:rPr>
          <w:rFonts w:ascii="Tahoma" w:hAnsi="Tahoma" w:cs="Tahoma"/>
          <w:sz w:val="20"/>
        </w:rPr>
        <w:t xml:space="preserve"> S</w:t>
      </w:r>
      <w:r w:rsidRPr="00E8601E">
        <w:rPr>
          <w:rFonts w:ascii="Tahoma" w:hAnsi="Tahoma" w:cs="Tahoma"/>
          <w:sz w:val="20"/>
        </w:rPr>
        <w:t>ão considerados recursos</w:t>
      </w:r>
      <w:r w:rsidR="0015383C" w:rsidRPr="00E8601E">
        <w:rPr>
          <w:rFonts w:ascii="Tahoma" w:hAnsi="Tahoma" w:cs="Tahoma"/>
          <w:sz w:val="20"/>
        </w:rPr>
        <w:t xml:space="preserve"> do regime próprio de previdência social</w:t>
      </w:r>
      <w:r w:rsidRPr="00E8601E">
        <w:rPr>
          <w:rFonts w:ascii="Tahoma" w:hAnsi="Tahoma" w:cs="Tahoma"/>
          <w:sz w:val="20"/>
        </w:rPr>
        <w:t xml:space="preserve">: as disponibilidades oriundas das receitas correntes e de capital; os demais ingressos financeiros auferidos pelo regime próprio de previdência social; as aplicações financeiras; os títulos e os valores mobiliários; os ativos vinculados por lei ao </w:t>
      </w:r>
      <w:r w:rsidR="0015383C" w:rsidRPr="00E8601E">
        <w:rPr>
          <w:rFonts w:ascii="Tahoma" w:hAnsi="Tahoma" w:cs="Tahoma"/>
          <w:sz w:val="20"/>
        </w:rPr>
        <w:t>fundo integrado de previdência</w:t>
      </w:r>
      <w:r w:rsidRPr="00E8601E">
        <w:rPr>
          <w:rFonts w:ascii="Tahoma" w:hAnsi="Tahoma" w:cs="Tahoma"/>
          <w:sz w:val="20"/>
        </w:rPr>
        <w:t>; e demais bens, direitos e ativos com finalidade previdenciária do regime próprio de previdência social.</w:t>
      </w:r>
    </w:p>
    <w:p w:rsidR="00A437C6" w:rsidRPr="00E8601E" w:rsidRDefault="00A437C6" w:rsidP="00F71F37">
      <w:pPr>
        <w:spacing w:after="120"/>
        <w:jc w:val="both"/>
        <w:rPr>
          <w:rFonts w:ascii="Tahoma" w:hAnsi="Tahoma" w:cs="Tahoma"/>
          <w:sz w:val="20"/>
        </w:rPr>
      </w:pPr>
    </w:p>
    <w:p w:rsidR="00A437C6" w:rsidRPr="00E8601E" w:rsidRDefault="00A437C6" w:rsidP="00310447">
      <w:pPr>
        <w:pStyle w:val="Subttulo"/>
        <w:rPr>
          <w:sz w:val="20"/>
        </w:rPr>
      </w:pPr>
      <w:bookmarkStart w:id="11" w:name="_Toc436036977"/>
      <w:bookmarkStart w:id="12" w:name="_Toc496874697"/>
      <w:r w:rsidRPr="00E8601E">
        <w:rPr>
          <w:sz w:val="20"/>
        </w:rPr>
        <w:t>Da Administração</w:t>
      </w:r>
      <w:bookmarkEnd w:id="11"/>
      <w:bookmarkEnd w:id="12"/>
    </w:p>
    <w:p w:rsidR="00DD42F3" w:rsidRPr="00E8601E" w:rsidRDefault="00344EA0" w:rsidP="00C27CE8">
      <w:pPr>
        <w:spacing w:after="120"/>
        <w:jc w:val="both"/>
        <w:rPr>
          <w:rFonts w:ascii="Tahoma" w:hAnsi="Tahoma" w:cs="Tahoma"/>
          <w:sz w:val="20"/>
        </w:rPr>
      </w:pPr>
      <w:r w:rsidRPr="00E8601E">
        <w:rPr>
          <w:rFonts w:ascii="Tahoma" w:hAnsi="Tahoma" w:cs="Tahoma"/>
          <w:sz w:val="20"/>
        </w:rPr>
        <w:t xml:space="preserve">O regime próprio de previdência social do </w:t>
      </w:r>
      <w:r w:rsidRPr="00740C8A">
        <w:rPr>
          <w:rFonts w:ascii="Tahoma" w:hAnsi="Tahoma" w:cs="Tahoma"/>
          <w:b/>
          <w:sz w:val="20"/>
          <w:szCs w:val="20"/>
        </w:rPr>
        <w:t xml:space="preserve">MUNICÍPIO DE </w:t>
      </w:r>
      <w:r w:rsidR="00C27CE8" w:rsidRPr="009A5912">
        <w:rPr>
          <w:rFonts w:ascii="Tahoma" w:hAnsi="Tahoma" w:cs="Tahoma"/>
          <w:b/>
          <w:sz w:val="20"/>
        </w:rPr>
        <w:t>RIO DOS ÍNDIOS</w:t>
      </w:r>
      <w:r w:rsidRPr="00740C8A">
        <w:rPr>
          <w:rFonts w:ascii="Tahoma" w:hAnsi="Tahoma" w:cs="Tahoma"/>
          <w:sz w:val="20"/>
          <w:szCs w:val="20"/>
        </w:rPr>
        <w:t xml:space="preserve"> é administrado pela UNIDADE GESTORA representada pelo </w:t>
      </w:r>
      <w:r w:rsidR="0023730B" w:rsidRPr="0023730B">
        <w:rPr>
          <w:rFonts w:ascii="Tahoma" w:hAnsi="Tahoma" w:cs="Tahoma"/>
          <w:b/>
          <w:sz w:val="20"/>
        </w:rPr>
        <w:t>FUNDO DE PREVIDÊNCIA SOCIAL DO SERVIDOR – FPSS DE RIO DOS ÍNDIOS</w:t>
      </w:r>
      <w:r w:rsidR="00C27CE8" w:rsidRPr="00C27CE8">
        <w:rPr>
          <w:rFonts w:ascii="Tahoma" w:hAnsi="Tahoma" w:cs="Tahoma"/>
          <w:sz w:val="20"/>
        </w:rPr>
        <w:t>na r</w:t>
      </w:r>
      <w:r w:rsidR="00C27CE8" w:rsidRPr="009A5912">
        <w:rPr>
          <w:rFonts w:ascii="Tahoma" w:hAnsi="Tahoma" w:cs="Tahoma"/>
          <w:sz w:val="20"/>
        </w:rPr>
        <w:t>ua AngeloSantinelli</w:t>
      </w:r>
      <w:r w:rsidR="00C27CE8">
        <w:rPr>
          <w:rFonts w:ascii="Tahoma" w:hAnsi="Tahoma" w:cs="Tahoma"/>
          <w:sz w:val="20"/>
        </w:rPr>
        <w:t>, nº 296</w:t>
      </w:r>
      <w:r w:rsidRPr="00C27CE8">
        <w:rPr>
          <w:rFonts w:ascii="Tahoma" w:hAnsi="Tahoma" w:cs="Tahoma"/>
          <w:sz w:val="20"/>
          <w:szCs w:val="20"/>
        </w:rPr>
        <w:t xml:space="preserve">, Centro, CEP </w:t>
      </w:r>
      <w:r w:rsidR="00C27CE8" w:rsidRPr="00C27CE8">
        <w:rPr>
          <w:rFonts w:ascii="Tahoma" w:hAnsi="Tahoma" w:cs="Tahoma"/>
          <w:sz w:val="20"/>
          <w:szCs w:val="20"/>
        </w:rPr>
        <w:t>99610</w:t>
      </w:r>
      <w:r w:rsidRPr="00C27CE8">
        <w:rPr>
          <w:rFonts w:ascii="Tahoma" w:hAnsi="Tahoma" w:cs="Tahoma"/>
          <w:sz w:val="20"/>
          <w:szCs w:val="20"/>
        </w:rPr>
        <w:t xml:space="preserve">-000, inscrita no CNPJ sob o nº </w:t>
      </w:r>
      <w:r w:rsidR="00C27CE8" w:rsidRPr="00C27CE8">
        <w:rPr>
          <w:rFonts w:ascii="Tahoma" w:hAnsi="Tahoma" w:cs="Tahoma"/>
          <w:sz w:val="20"/>
        </w:rPr>
        <w:t>15.045.713/0001-49</w:t>
      </w:r>
      <w:r w:rsidRPr="00C27CE8">
        <w:rPr>
          <w:rFonts w:ascii="Tahoma" w:hAnsi="Tahoma" w:cs="Tahoma"/>
          <w:sz w:val="20"/>
        </w:rPr>
        <w:t>, doravante abreviadamente</w:t>
      </w:r>
      <w:r w:rsidRPr="00E8601E">
        <w:rPr>
          <w:rFonts w:ascii="Tahoma" w:hAnsi="Tahoma" w:cs="Tahoma"/>
          <w:sz w:val="20"/>
        </w:rPr>
        <w:t xml:space="preserve"> designada, RPPS, tendo co</w:t>
      </w:r>
      <w:r>
        <w:rPr>
          <w:rFonts w:ascii="Tahoma" w:hAnsi="Tahoma" w:cs="Tahoma"/>
          <w:sz w:val="20"/>
        </w:rPr>
        <w:t>mo Representante Legal do Ente a</w:t>
      </w:r>
      <w:r w:rsidRPr="00E8601E">
        <w:rPr>
          <w:rFonts w:ascii="Tahoma" w:hAnsi="Tahoma" w:cs="Tahoma"/>
          <w:sz w:val="20"/>
        </w:rPr>
        <w:t xml:space="preserve"> Sr</w:t>
      </w:r>
      <w:r>
        <w:rPr>
          <w:rFonts w:ascii="Tahoma" w:hAnsi="Tahoma" w:cs="Tahoma"/>
          <w:sz w:val="20"/>
        </w:rPr>
        <w:t>a</w:t>
      </w:r>
      <w:r w:rsidRPr="00E8601E">
        <w:rPr>
          <w:rFonts w:ascii="Tahoma" w:hAnsi="Tahoma" w:cs="Tahoma"/>
          <w:sz w:val="20"/>
        </w:rPr>
        <w:t xml:space="preserve">. </w:t>
      </w:r>
      <w:r w:rsidR="00C27CE8" w:rsidRPr="00C27CE8">
        <w:rPr>
          <w:rFonts w:ascii="Tahoma" w:hAnsi="Tahoma" w:cs="Tahoma"/>
          <w:b/>
          <w:sz w:val="20"/>
        </w:rPr>
        <w:t>SALMO DIAS DE OLIVEIRA</w:t>
      </w:r>
      <w:r w:rsidRPr="00E8601E">
        <w:rPr>
          <w:rFonts w:ascii="Tahoma" w:hAnsi="Tahoma" w:cs="Tahoma"/>
          <w:sz w:val="20"/>
        </w:rPr>
        <w:t xml:space="preserve"> e o Representante Legal da Unidade Gestora </w:t>
      </w:r>
      <w:r>
        <w:rPr>
          <w:rFonts w:ascii="Tahoma" w:hAnsi="Tahoma" w:cs="Tahoma"/>
          <w:sz w:val="20"/>
        </w:rPr>
        <w:t>a</w:t>
      </w:r>
      <w:r w:rsidRPr="00E8601E">
        <w:rPr>
          <w:rFonts w:ascii="Tahoma" w:hAnsi="Tahoma" w:cs="Tahoma"/>
          <w:sz w:val="20"/>
        </w:rPr>
        <w:t xml:space="preserve"> Sr</w:t>
      </w:r>
      <w:r>
        <w:rPr>
          <w:rFonts w:ascii="Tahoma" w:hAnsi="Tahoma" w:cs="Tahoma"/>
          <w:sz w:val="20"/>
        </w:rPr>
        <w:t>a</w:t>
      </w:r>
      <w:r w:rsidRPr="00E8601E">
        <w:rPr>
          <w:rFonts w:ascii="Tahoma" w:hAnsi="Tahoma" w:cs="Tahoma"/>
          <w:sz w:val="20"/>
        </w:rPr>
        <w:t xml:space="preserve">. </w:t>
      </w:r>
      <w:r w:rsidR="00C27CE8" w:rsidRPr="00C27CE8">
        <w:rPr>
          <w:rFonts w:ascii="Tahoma" w:hAnsi="Tahoma" w:cs="Tahoma"/>
          <w:b/>
          <w:sz w:val="20"/>
        </w:rPr>
        <w:t>DANIEL BILINI</w:t>
      </w:r>
      <w:r w:rsidRPr="00E8601E">
        <w:rPr>
          <w:rFonts w:ascii="Tahoma" w:hAnsi="Tahoma" w:cs="Tahoma"/>
          <w:sz w:val="20"/>
        </w:rPr>
        <w:t>.</w:t>
      </w:r>
    </w:p>
    <w:p w:rsidR="008A3C9E" w:rsidRPr="00E8601E" w:rsidRDefault="004715AF" w:rsidP="00310447">
      <w:pPr>
        <w:pStyle w:val="Subttulo"/>
        <w:rPr>
          <w:sz w:val="20"/>
        </w:rPr>
      </w:pPr>
      <w:bookmarkStart w:id="13" w:name="_Toc436036978"/>
      <w:bookmarkStart w:id="14" w:name="_Toc496874698"/>
      <w:r w:rsidRPr="00E8601E">
        <w:rPr>
          <w:sz w:val="20"/>
        </w:rPr>
        <w:t>Da Organização do Documento</w:t>
      </w:r>
      <w:bookmarkEnd w:id="13"/>
      <w:bookmarkEnd w:id="14"/>
    </w:p>
    <w:p w:rsidR="00C27CE8" w:rsidRPr="00567E06" w:rsidRDefault="0015383C" w:rsidP="00C27CE8">
      <w:pPr>
        <w:spacing w:after="120"/>
        <w:rPr>
          <w:rFonts w:ascii="Tahoma" w:hAnsi="Tahoma" w:cs="Tahoma"/>
          <w:b/>
          <w:sz w:val="20"/>
        </w:rPr>
      </w:pPr>
      <w:r w:rsidRPr="00E8601E">
        <w:rPr>
          <w:rFonts w:ascii="Tahoma" w:hAnsi="Tahoma" w:cs="Tahoma"/>
          <w:sz w:val="20"/>
        </w:rPr>
        <w:t xml:space="preserve">O presente documento está </w:t>
      </w:r>
      <w:r w:rsidRPr="00344EA0">
        <w:rPr>
          <w:rFonts w:ascii="Tahoma" w:hAnsi="Tahoma" w:cs="Tahoma"/>
          <w:sz w:val="20"/>
        </w:rPr>
        <w:t xml:space="preserve">estruturado em </w:t>
      </w:r>
      <w:r w:rsidR="007A0C8F" w:rsidRPr="00344EA0">
        <w:rPr>
          <w:rFonts w:ascii="Tahoma" w:hAnsi="Tahoma" w:cs="Tahoma"/>
          <w:sz w:val="20"/>
        </w:rPr>
        <w:t>treze</w:t>
      </w:r>
      <w:r w:rsidRPr="00344EA0">
        <w:rPr>
          <w:rFonts w:ascii="Tahoma" w:hAnsi="Tahoma" w:cs="Tahoma"/>
          <w:sz w:val="20"/>
        </w:rPr>
        <w:t xml:space="preserve"> seções. Esta INTRODUÇÃO de apresentação da Política de Investimentos do </w:t>
      </w:r>
      <w:r w:rsidR="0023730B" w:rsidRPr="0023730B">
        <w:rPr>
          <w:rFonts w:ascii="Tahoma" w:hAnsi="Tahoma" w:cs="Tahoma"/>
          <w:b/>
          <w:sz w:val="20"/>
        </w:rPr>
        <w:t>FUNDO DE PREVIDÊNCIA SOCIAL DO SERVIDOR – FPSS DE RIO DOS ÍNDIOS</w:t>
      </w:r>
      <w:r w:rsidR="0023730B">
        <w:rPr>
          <w:rFonts w:ascii="Tahoma" w:hAnsi="Tahoma" w:cs="Tahoma"/>
          <w:b/>
          <w:sz w:val="20"/>
        </w:rPr>
        <w:t>.</w:t>
      </w:r>
    </w:p>
    <w:p w:rsidR="007A372D" w:rsidRPr="00E8601E" w:rsidRDefault="00681FB2" w:rsidP="00F71F37">
      <w:pPr>
        <w:spacing w:after="120"/>
        <w:jc w:val="both"/>
        <w:rPr>
          <w:rFonts w:ascii="Tahoma" w:hAnsi="Tahoma" w:cs="Tahoma"/>
          <w:sz w:val="20"/>
        </w:rPr>
      </w:pPr>
      <w:r w:rsidRPr="00344EA0">
        <w:rPr>
          <w:rFonts w:ascii="Tahoma" w:hAnsi="Tahoma" w:cs="Tahoma"/>
          <w:sz w:val="20"/>
        </w:rPr>
        <w:t>A VIGÊNCIA E OBJETIVOS DA POLÍTICA DE INVESTIMENTOS</w:t>
      </w:r>
      <w:r w:rsidR="0015383C" w:rsidRPr="00344EA0">
        <w:rPr>
          <w:rFonts w:ascii="Tahoma" w:hAnsi="Tahoma" w:cs="Tahoma"/>
          <w:sz w:val="20"/>
        </w:rPr>
        <w:t xml:space="preserve">, </w:t>
      </w:r>
      <w:r w:rsidR="001C6B3F" w:rsidRPr="00344EA0">
        <w:rPr>
          <w:rFonts w:ascii="Tahoma" w:hAnsi="Tahoma" w:cs="Tahoma"/>
          <w:sz w:val="20"/>
        </w:rPr>
        <w:t xml:space="preserve">destacandoa abrangência temporal </w:t>
      </w:r>
      <w:r w:rsidR="00097442" w:rsidRPr="00344EA0">
        <w:rPr>
          <w:rFonts w:ascii="Tahoma" w:hAnsi="Tahoma" w:cs="Tahoma"/>
          <w:sz w:val="20"/>
        </w:rPr>
        <w:t>dos efeitosoriginados por este documento</w:t>
      </w:r>
      <w:r w:rsidR="0015383C" w:rsidRPr="00344EA0">
        <w:rPr>
          <w:rFonts w:ascii="Tahoma" w:hAnsi="Tahoma" w:cs="Tahoma"/>
          <w:sz w:val="20"/>
        </w:rPr>
        <w:t xml:space="preserve"> e </w:t>
      </w:r>
      <w:r w:rsidR="001C6B3F" w:rsidRPr="00344EA0">
        <w:rPr>
          <w:rFonts w:ascii="Tahoma" w:hAnsi="Tahoma" w:cs="Tahoma"/>
          <w:sz w:val="20"/>
        </w:rPr>
        <w:t xml:space="preserve">o propósitode curto e longo prazo do </w:t>
      </w:r>
      <w:r w:rsidR="00C92FBC">
        <w:rPr>
          <w:rFonts w:ascii="Tahoma" w:hAnsi="Tahoma" w:cs="Tahoma"/>
          <w:b/>
          <w:sz w:val="20"/>
          <w:szCs w:val="20"/>
        </w:rPr>
        <w:t>RPPS</w:t>
      </w:r>
      <w:r w:rsidR="0015383C" w:rsidRPr="00344EA0">
        <w:rPr>
          <w:rFonts w:ascii="Tahoma" w:hAnsi="Tahoma" w:cs="Tahoma"/>
          <w:sz w:val="20"/>
        </w:rPr>
        <w:t xml:space="preserve">. O </w:t>
      </w:r>
      <w:r w:rsidR="007A372D" w:rsidRPr="00344EA0">
        <w:rPr>
          <w:rFonts w:ascii="Tahoma" w:hAnsi="Tahoma" w:cs="Tahoma"/>
          <w:sz w:val="20"/>
        </w:rPr>
        <w:t>MODELO DE GESTÃO E SERVIÇOS ESPECIALIZADOS</w:t>
      </w:r>
      <w:r w:rsidR="0015383C" w:rsidRPr="00344EA0">
        <w:rPr>
          <w:rFonts w:ascii="Tahoma" w:hAnsi="Tahoma" w:cs="Tahoma"/>
          <w:sz w:val="20"/>
        </w:rPr>
        <w:t xml:space="preserve">, para prever o modo </w:t>
      </w:r>
      <w:r w:rsidR="001C6B3F" w:rsidRPr="00344EA0">
        <w:rPr>
          <w:rFonts w:ascii="Tahoma" w:hAnsi="Tahoma" w:cs="Tahoma"/>
          <w:sz w:val="20"/>
        </w:rPr>
        <w:t>de gerir</w:t>
      </w:r>
      <w:r w:rsidR="0015383C" w:rsidRPr="00344EA0">
        <w:rPr>
          <w:rFonts w:ascii="Tahoma" w:hAnsi="Tahoma" w:cs="Tahoma"/>
          <w:sz w:val="20"/>
        </w:rPr>
        <w:t xml:space="preserve"> os recursos e o suporte especializado</w:t>
      </w:r>
      <w:r w:rsidR="001C6B3F" w:rsidRPr="00344EA0">
        <w:rPr>
          <w:rFonts w:ascii="Tahoma" w:hAnsi="Tahoma" w:cs="Tahoma"/>
          <w:sz w:val="20"/>
        </w:rPr>
        <w:t xml:space="preserve"> necessário</w:t>
      </w:r>
      <w:r w:rsidR="0015383C" w:rsidRPr="00344EA0">
        <w:rPr>
          <w:rFonts w:ascii="Tahoma" w:hAnsi="Tahoma" w:cs="Tahoma"/>
          <w:sz w:val="20"/>
        </w:rPr>
        <w:t xml:space="preserve">. Os </w:t>
      </w:r>
      <w:r w:rsidR="007A372D" w:rsidRPr="00344EA0">
        <w:rPr>
          <w:rFonts w:ascii="Tahoma" w:hAnsi="Tahoma" w:cs="Tahoma"/>
          <w:sz w:val="20"/>
        </w:rPr>
        <w:t xml:space="preserve">ASPECTOS LEGAIS DA RESOLUÇÃO CMN </w:t>
      </w:r>
      <w:r w:rsidR="000A6A26" w:rsidRPr="00344EA0">
        <w:rPr>
          <w:rFonts w:ascii="Tahoma" w:hAnsi="Tahoma" w:cs="Tahoma"/>
          <w:sz w:val="20"/>
        </w:rPr>
        <w:t>3.922</w:t>
      </w:r>
      <w:r w:rsidR="001E78B7" w:rsidRPr="00344EA0">
        <w:rPr>
          <w:rFonts w:ascii="Tahoma" w:hAnsi="Tahoma" w:cs="Tahoma"/>
          <w:sz w:val="20"/>
        </w:rPr>
        <w:t xml:space="preserve">/2010 E </w:t>
      </w:r>
      <w:r w:rsidR="001E78B7">
        <w:rPr>
          <w:rFonts w:ascii="Tahoma" w:hAnsi="Tahoma" w:cs="Tahoma"/>
          <w:sz w:val="20"/>
        </w:rPr>
        <w:t>ALTERAÇÕES DESCRITAS NA RESOLUÇÃO 4.604/2017</w:t>
      </w:r>
      <w:r w:rsidR="000A6A26" w:rsidRPr="00E8601E">
        <w:rPr>
          <w:rFonts w:ascii="Tahoma" w:hAnsi="Tahoma" w:cs="Tahoma"/>
          <w:sz w:val="20"/>
        </w:rPr>
        <w:t>,</w:t>
      </w:r>
      <w:r w:rsidR="0015383C" w:rsidRPr="00E8601E">
        <w:rPr>
          <w:rFonts w:ascii="Tahoma" w:hAnsi="Tahoma" w:cs="Tahoma"/>
          <w:sz w:val="20"/>
        </w:rPr>
        <w:t xml:space="preserve"> a partir da síntese dos seus princip</w:t>
      </w:r>
      <w:r w:rsidR="00C7775A" w:rsidRPr="00E8601E">
        <w:rPr>
          <w:rFonts w:ascii="Tahoma" w:hAnsi="Tahoma" w:cs="Tahoma"/>
          <w:sz w:val="20"/>
        </w:rPr>
        <w:t xml:space="preserve">ais aspectos correspondentes. A </w:t>
      </w:r>
      <w:r w:rsidR="007A372D" w:rsidRPr="00E8601E">
        <w:rPr>
          <w:rFonts w:ascii="Tahoma" w:hAnsi="Tahoma" w:cs="Tahoma"/>
          <w:sz w:val="20"/>
        </w:rPr>
        <w:t>CONJUNTURA ECONÔMICA E ANÁLISE DE MERCADO</w:t>
      </w:r>
      <w:r w:rsidR="00C7775A" w:rsidRPr="00E8601E">
        <w:rPr>
          <w:rFonts w:ascii="Tahoma" w:hAnsi="Tahoma" w:cs="Tahoma"/>
          <w:sz w:val="20"/>
        </w:rPr>
        <w:t xml:space="preserve">, para oferecer dados e informações </w:t>
      </w:r>
      <w:r w:rsidR="00D55C76" w:rsidRPr="00E8601E">
        <w:rPr>
          <w:rFonts w:ascii="Tahoma" w:hAnsi="Tahoma" w:cs="Tahoma"/>
          <w:sz w:val="20"/>
        </w:rPr>
        <w:t>a</w:t>
      </w:r>
      <w:r w:rsidR="00C7775A" w:rsidRPr="00E8601E">
        <w:rPr>
          <w:rFonts w:ascii="Tahoma" w:hAnsi="Tahoma" w:cs="Tahoma"/>
          <w:sz w:val="20"/>
        </w:rPr>
        <w:t xml:space="preserve"> respeito do contexto </w:t>
      </w:r>
      <w:r w:rsidR="00D55C76" w:rsidRPr="00E8601E">
        <w:rPr>
          <w:rFonts w:ascii="Tahoma" w:hAnsi="Tahoma" w:cs="Tahoma"/>
          <w:sz w:val="20"/>
        </w:rPr>
        <w:t>econômico de</w:t>
      </w:r>
      <w:r w:rsidR="00C7775A" w:rsidRPr="00E8601E">
        <w:rPr>
          <w:rFonts w:ascii="Tahoma" w:hAnsi="Tahoma" w:cs="Tahoma"/>
          <w:sz w:val="20"/>
        </w:rPr>
        <w:t xml:space="preserve"> investimentos</w:t>
      </w:r>
      <w:r w:rsidR="007A0C8F" w:rsidRPr="00E8601E">
        <w:rPr>
          <w:rFonts w:ascii="Tahoma" w:hAnsi="Tahoma" w:cs="Tahoma"/>
          <w:sz w:val="20"/>
        </w:rPr>
        <w:t xml:space="preserve">, bem como as EXPECTATIVAS DO MERCADO FINANCEIRO PARA </w:t>
      </w:r>
      <w:r w:rsidR="00A5604A">
        <w:rPr>
          <w:rFonts w:ascii="Tahoma" w:hAnsi="Tahoma" w:cs="Tahoma"/>
          <w:sz w:val="20"/>
        </w:rPr>
        <w:t>201</w:t>
      </w:r>
      <w:r w:rsidR="00564AED">
        <w:rPr>
          <w:rFonts w:ascii="Tahoma" w:hAnsi="Tahoma" w:cs="Tahoma"/>
          <w:sz w:val="20"/>
        </w:rPr>
        <w:t>8</w:t>
      </w:r>
      <w:r w:rsidR="00A5604A">
        <w:rPr>
          <w:rFonts w:ascii="Tahoma" w:hAnsi="Tahoma" w:cs="Tahoma"/>
          <w:sz w:val="20"/>
        </w:rPr>
        <w:t>/</w:t>
      </w:r>
      <w:r w:rsidR="007A0C8F" w:rsidRPr="00E8601E">
        <w:rPr>
          <w:rFonts w:ascii="Tahoma" w:hAnsi="Tahoma" w:cs="Tahoma"/>
          <w:sz w:val="20"/>
        </w:rPr>
        <w:t>201</w:t>
      </w:r>
      <w:r w:rsidR="00564AED">
        <w:rPr>
          <w:rFonts w:ascii="Tahoma" w:hAnsi="Tahoma" w:cs="Tahoma"/>
          <w:sz w:val="20"/>
        </w:rPr>
        <w:t>9</w:t>
      </w:r>
      <w:r w:rsidR="007A0C8F" w:rsidRPr="00E8601E">
        <w:rPr>
          <w:rFonts w:ascii="Tahoma" w:hAnsi="Tahoma" w:cs="Tahoma"/>
          <w:sz w:val="20"/>
        </w:rPr>
        <w:t xml:space="preserve">, AS CONSIDERAÇÕES GERAIS DO CENÁRIO DE </w:t>
      </w:r>
      <w:r w:rsidR="00A5604A">
        <w:rPr>
          <w:rFonts w:ascii="Tahoma" w:hAnsi="Tahoma" w:cs="Tahoma"/>
          <w:sz w:val="20"/>
        </w:rPr>
        <w:t>201</w:t>
      </w:r>
      <w:r w:rsidR="00564AED">
        <w:rPr>
          <w:rFonts w:ascii="Tahoma" w:hAnsi="Tahoma" w:cs="Tahoma"/>
          <w:sz w:val="20"/>
        </w:rPr>
        <w:t>8</w:t>
      </w:r>
      <w:r w:rsidR="00A5604A">
        <w:rPr>
          <w:rFonts w:ascii="Tahoma" w:hAnsi="Tahoma" w:cs="Tahoma"/>
          <w:sz w:val="20"/>
        </w:rPr>
        <w:t>/</w:t>
      </w:r>
      <w:r w:rsidR="007A0C8F" w:rsidRPr="00E8601E">
        <w:rPr>
          <w:rFonts w:ascii="Tahoma" w:hAnsi="Tahoma" w:cs="Tahoma"/>
          <w:sz w:val="20"/>
        </w:rPr>
        <w:t>201</w:t>
      </w:r>
      <w:r w:rsidR="00564AED">
        <w:rPr>
          <w:rFonts w:ascii="Tahoma" w:hAnsi="Tahoma" w:cs="Tahoma"/>
          <w:sz w:val="20"/>
        </w:rPr>
        <w:t>9</w:t>
      </w:r>
      <w:r w:rsidR="007A0C8F" w:rsidRPr="00E8601E">
        <w:rPr>
          <w:rFonts w:ascii="Tahoma" w:hAnsi="Tahoma" w:cs="Tahoma"/>
          <w:sz w:val="20"/>
        </w:rPr>
        <w:t>, CONTROLE DE</w:t>
      </w:r>
      <w:r w:rsidR="00D63B08">
        <w:rPr>
          <w:rFonts w:ascii="Tahoma" w:hAnsi="Tahoma" w:cs="Tahoma"/>
          <w:sz w:val="20"/>
        </w:rPr>
        <w:t xml:space="preserve"> RISCO e o</w:t>
      </w:r>
      <w:r w:rsidR="003D3720" w:rsidRPr="00E8601E">
        <w:rPr>
          <w:rFonts w:ascii="Tahoma" w:hAnsi="Tahoma" w:cs="Tahoma"/>
          <w:sz w:val="20"/>
        </w:rPr>
        <w:t xml:space="preserve"> GLOSSARIO onde se expõem</w:t>
      </w:r>
      <w:r w:rsidR="007A0C8F" w:rsidRPr="00E8601E">
        <w:rPr>
          <w:rFonts w:ascii="Tahoma" w:hAnsi="Tahoma" w:cs="Tahoma"/>
          <w:sz w:val="20"/>
        </w:rPr>
        <w:t xml:space="preserve"> alguns conceitos</w:t>
      </w:r>
      <w:r w:rsidR="00C7775A" w:rsidRPr="00E8601E">
        <w:rPr>
          <w:rFonts w:ascii="Tahoma" w:hAnsi="Tahoma" w:cs="Tahoma"/>
          <w:sz w:val="20"/>
        </w:rPr>
        <w:t>.</w:t>
      </w:r>
      <w:r w:rsidR="007A0C8F" w:rsidRPr="00E8601E">
        <w:rPr>
          <w:rFonts w:ascii="Tahoma" w:hAnsi="Tahoma" w:cs="Tahoma"/>
          <w:sz w:val="20"/>
        </w:rPr>
        <w:t xml:space="preserve"> Temosa</w:t>
      </w:r>
      <w:r w:rsidR="00C7775A" w:rsidRPr="00E8601E">
        <w:rPr>
          <w:rFonts w:ascii="Tahoma" w:hAnsi="Tahoma" w:cs="Tahoma"/>
          <w:sz w:val="20"/>
        </w:rPr>
        <w:t xml:space="preserve">s </w:t>
      </w:r>
      <w:r w:rsidR="007A372D" w:rsidRPr="00E8601E">
        <w:rPr>
          <w:rFonts w:ascii="Tahoma" w:hAnsi="Tahoma" w:cs="Tahoma"/>
          <w:sz w:val="20"/>
        </w:rPr>
        <w:t>DIRETRIZES PARA ALOCAÇÃO DOS RECURSOS</w:t>
      </w:r>
      <w:r w:rsidR="00C7775A" w:rsidRPr="00E8601E">
        <w:rPr>
          <w:rFonts w:ascii="Tahoma" w:hAnsi="Tahoma" w:cs="Tahoma"/>
          <w:sz w:val="20"/>
        </w:rPr>
        <w:t xml:space="preserve">, alinhando os elementos de gestão e as suas respectivas restrições. </w:t>
      </w:r>
      <w:r w:rsidR="007A0C8F" w:rsidRPr="00E8601E">
        <w:rPr>
          <w:rFonts w:ascii="Tahoma" w:hAnsi="Tahoma" w:cs="Tahoma"/>
          <w:sz w:val="20"/>
        </w:rPr>
        <w:t xml:space="preserve">A ESTRATÉGIA PARA ALOCAÇÃO DE RECURSOS, onde </w:t>
      </w:r>
      <w:r w:rsidR="007A0C8F" w:rsidRPr="00E8601E">
        <w:rPr>
          <w:rFonts w:ascii="Tahoma" w:hAnsi="Tahoma" w:cs="Tahoma"/>
          <w:sz w:val="20"/>
        </w:rPr>
        <w:lastRenderedPageBreak/>
        <w:t>traçamos os limites de alocações por segmento. As VEDAÇÕES e p</w:t>
      </w:r>
      <w:r w:rsidR="00C7775A" w:rsidRPr="00E8601E">
        <w:rPr>
          <w:rFonts w:ascii="Tahoma" w:hAnsi="Tahoma" w:cs="Tahoma"/>
          <w:sz w:val="20"/>
        </w:rPr>
        <w:t xml:space="preserve">or fim, as </w:t>
      </w:r>
      <w:r w:rsidR="007A0C8F" w:rsidRPr="00E8601E">
        <w:rPr>
          <w:rFonts w:ascii="Tahoma" w:hAnsi="Tahoma" w:cs="Tahoma"/>
          <w:sz w:val="20"/>
        </w:rPr>
        <w:t>DISPOSIÇÕES</w:t>
      </w:r>
      <w:r w:rsidR="007A372D" w:rsidRPr="00E8601E">
        <w:rPr>
          <w:rFonts w:ascii="Tahoma" w:hAnsi="Tahoma" w:cs="Tahoma"/>
          <w:sz w:val="20"/>
        </w:rPr>
        <w:t xml:space="preserve"> GERAIS</w:t>
      </w:r>
      <w:r w:rsidR="00C7775A" w:rsidRPr="00E8601E">
        <w:rPr>
          <w:rFonts w:ascii="Tahoma" w:hAnsi="Tahoma" w:cs="Tahoma"/>
          <w:sz w:val="20"/>
        </w:rPr>
        <w:t xml:space="preserve">. </w:t>
      </w:r>
    </w:p>
    <w:p w:rsidR="007A372D" w:rsidRPr="00E8601E" w:rsidRDefault="007A372D" w:rsidP="00F71F37">
      <w:pPr>
        <w:spacing w:after="120"/>
        <w:jc w:val="both"/>
        <w:rPr>
          <w:rFonts w:ascii="Tahoma" w:hAnsi="Tahoma" w:cs="Tahoma"/>
          <w:b/>
          <w:sz w:val="20"/>
        </w:rPr>
      </w:pPr>
    </w:p>
    <w:p w:rsidR="002F3366" w:rsidRPr="00E8601E" w:rsidRDefault="002F3366" w:rsidP="00251F7D">
      <w:pPr>
        <w:spacing w:after="120"/>
        <w:jc w:val="both"/>
        <w:rPr>
          <w:sz w:val="20"/>
        </w:rPr>
      </w:pPr>
      <w:bookmarkStart w:id="15" w:name="_Toc436036979"/>
      <w:bookmarkStart w:id="16" w:name="_Toc496874699"/>
      <w:r w:rsidRPr="00E8601E">
        <w:rPr>
          <w:rStyle w:val="Ttulo1Char"/>
          <w:sz w:val="21"/>
          <w:szCs w:val="21"/>
        </w:rPr>
        <w:t>VIGÊNCIA</w:t>
      </w:r>
      <w:r w:rsidR="00B10E5E" w:rsidRPr="00E8601E">
        <w:rPr>
          <w:rStyle w:val="Ttulo1Char"/>
          <w:sz w:val="21"/>
          <w:szCs w:val="21"/>
        </w:rPr>
        <w:t xml:space="preserve"> E </w:t>
      </w:r>
      <w:bookmarkStart w:id="17" w:name="_Toc341970890"/>
      <w:r w:rsidR="00B10E5E" w:rsidRPr="00E8601E">
        <w:rPr>
          <w:rStyle w:val="Ttulo1Char"/>
          <w:sz w:val="21"/>
          <w:szCs w:val="21"/>
        </w:rPr>
        <w:t>OBJETIVOS</w:t>
      </w:r>
      <w:bookmarkEnd w:id="17"/>
      <w:r w:rsidR="003A4DF8" w:rsidRPr="00E8601E">
        <w:rPr>
          <w:rStyle w:val="Ttulo1Char"/>
          <w:sz w:val="21"/>
          <w:szCs w:val="21"/>
        </w:rPr>
        <w:t xml:space="preserve"> DA P</w:t>
      </w:r>
      <w:r w:rsidR="00774C95" w:rsidRPr="00E8601E">
        <w:rPr>
          <w:rStyle w:val="Ttulo1Char"/>
          <w:sz w:val="21"/>
          <w:szCs w:val="21"/>
        </w:rPr>
        <w:t xml:space="preserve">OLÍTICA DE </w:t>
      </w:r>
      <w:r w:rsidR="003A4DF8" w:rsidRPr="00E8601E">
        <w:rPr>
          <w:rStyle w:val="Ttulo1Char"/>
          <w:sz w:val="21"/>
          <w:szCs w:val="21"/>
        </w:rPr>
        <w:t>I</w:t>
      </w:r>
      <w:r w:rsidR="00774C95" w:rsidRPr="00E8601E">
        <w:rPr>
          <w:rStyle w:val="Ttulo1Char"/>
          <w:sz w:val="21"/>
          <w:szCs w:val="21"/>
        </w:rPr>
        <w:t>NVESTIMENTOS</w:t>
      </w:r>
      <w:r w:rsidR="00A5752F" w:rsidRPr="00E8601E">
        <w:rPr>
          <w:rStyle w:val="Ttulo1Char"/>
          <w:sz w:val="21"/>
          <w:szCs w:val="21"/>
        </w:rPr>
        <w:t xml:space="preserve"> 201</w:t>
      </w:r>
      <w:bookmarkEnd w:id="15"/>
      <w:bookmarkEnd w:id="16"/>
      <w:r w:rsidR="00564AED">
        <w:rPr>
          <w:rStyle w:val="Ttulo1Char"/>
          <w:sz w:val="21"/>
          <w:szCs w:val="21"/>
        </w:rPr>
        <w:t>9</w:t>
      </w:r>
      <w:r w:rsidR="0049303D" w:rsidRPr="00E8601E">
        <w:rPr>
          <w:sz w:val="20"/>
        </w:rPr>
        <w:object w:dxaOrig="3163" w:dyaOrig="3187">
          <v:shape id="_x0000_i1030" type="#_x0000_t75" style="width:23.25pt;height:23.25pt" o:ole="">
            <v:imagedata r:id="rId10" o:title=""/>
          </v:shape>
          <o:OLEObject Type="Embed" ProgID="CorelDRAW.Graphic.13" ShapeID="_x0000_i1030" DrawAspect="Content" ObjectID="_1608620653" r:id="rId15"/>
        </w:object>
      </w:r>
    </w:p>
    <w:p w:rsidR="002F3366" w:rsidRPr="00E8601E" w:rsidRDefault="002F3366" w:rsidP="00CD149C">
      <w:pPr>
        <w:spacing w:after="120"/>
        <w:jc w:val="both"/>
        <w:rPr>
          <w:rFonts w:ascii="Tahoma" w:hAnsi="Tahoma" w:cs="Tahoma"/>
          <w:sz w:val="20"/>
        </w:rPr>
      </w:pPr>
    </w:p>
    <w:p w:rsidR="00CD149C" w:rsidRPr="00E8601E" w:rsidRDefault="00971BEF" w:rsidP="00310447">
      <w:pPr>
        <w:pStyle w:val="Subttulo"/>
        <w:rPr>
          <w:sz w:val="20"/>
        </w:rPr>
      </w:pPr>
      <w:bookmarkStart w:id="18" w:name="_Toc436036980"/>
      <w:bookmarkStart w:id="19" w:name="_Toc496874700"/>
      <w:r w:rsidRPr="00E8601E">
        <w:rPr>
          <w:sz w:val="20"/>
        </w:rPr>
        <w:t>Da Vigência</w:t>
      </w:r>
      <w:bookmarkEnd w:id="18"/>
      <w:bookmarkEnd w:id="19"/>
    </w:p>
    <w:p w:rsidR="002F3366" w:rsidRPr="00344EA0" w:rsidRDefault="002F3366" w:rsidP="00C27CE8">
      <w:pPr>
        <w:spacing w:after="120"/>
        <w:jc w:val="both"/>
        <w:rPr>
          <w:rFonts w:ascii="Tahoma" w:hAnsi="Tahoma" w:cs="Tahoma"/>
          <w:sz w:val="20"/>
        </w:rPr>
      </w:pPr>
      <w:r w:rsidRPr="00E8601E">
        <w:rPr>
          <w:rFonts w:ascii="Tahoma" w:hAnsi="Tahoma" w:cs="Tahoma"/>
          <w:sz w:val="20"/>
        </w:rPr>
        <w:t xml:space="preserve">Esta </w:t>
      </w:r>
      <w:r w:rsidR="00971BEF" w:rsidRPr="00E8601E">
        <w:rPr>
          <w:rFonts w:ascii="Tahoma" w:hAnsi="Tahoma" w:cs="Tahoma"/>
          <w:sz w:val="20"/>
        </w:rPr>
        <w:t>P</w:t>
      </w:r>
      <w:r w:rsidRPr="00E8601E">
        <w:rPr>
          <w:rFonts w:ascii="Tahoma" w:hAnsi="Tahoma" w:cs="Tahoma"/>
          <w:sz w:val="20"/>
        </w:rPr>
        <w:t xml:space="preserve">olítica de </w:t>
      </w:r>
      <w:r w:rsidR="00971BEF" w:rsidRPr="00E8601E">
        <w:rPr>
          <w:rFonts w:ascii="Tahoma" w:hAnsi="Tahoma" w:cs="Tahoma"/>
          <w:sz w:val="20"/>
        </w:rPr>
        <w:t>I</w:t>
      </w:r>
      <w:r w:rsidRPr="00E8601E">
        <w:rPr>
          <w:rFonts w:ascii="Tahoma" w:hAnsi="Tahoma" w:cs="Tahoma"/>
          <w:sz w:val="20"/>
        </w:rPr>
        <w:t>nvestimento</w:t>
      </w:r>
      <w:r w:rsidR="003C000C" w:rsidRPr="00E8601E">
        <w:rPr>
          <w:rFonts w:ascii="Tahoma" w:hAnsi="Tahoma" w:cs="Tahoma"/>
          <w:sz w:val="20"/>
        </w:rPr>
        <w:t>s</w:t>
      </w:r>
      <w:r w:rsidRPr="00E8601E">
        <w:rPr>
          <w:rFonts w:ascii="Tahoma" w:hAnsi="Tahoma" w:cs="Tahoma"/>
          <w:sz w:val="20"/>
        </w:rPr>
        <w:t xml:space="preserve"> será válida para todo o </w:t>
      </w:r>
      <w:r w:rsidR="00E503E6" w:rsidRPr="00E8601E">
        <w:rPr>
          <w:rFonts w:ascii="Tahoma" w:hAnsi="Tahoma" w:cs="Tahoma"/>
          <w:b/>
          <w:sz w:val="20"/>
        </w:rPr>
        <w:t>EXERCÍCIODE</w:t>
      </w:r>
      <w:r w:rsidRPr="00E8601E">
        <w:rPr>
          <w:rFonts w:ascii="Tahoma" w:hAnsi="Tahoma" w:cs="Tahoma"/>
          <w:b/>
          <w:sz w:val="20"/>
        </w:rPr>
        <w:t xml:space="preserve"> 201</w:t>
      </w:r>
      <w:r w:rsidR="00564AED">
        <w:rPr>
          <w:rFonts w:ascii="Tahoma" w:hAnsi="Tahoma" w:cs="Tahoma"/>
          <w:b/>
          <w:sz w:val="20"/>
        </w:rPr>
        <w:t>9</w:t>
      </w:r>
      <w:r w:rsidR="00570073" w:rsidRPr="00E8601E">
        <w:rPr>
          <w:rFonts w:ascii="Tahoma" w:hAnsi="Tahoma" w:cs="Tahoma"/>
          <w:sz w:val="20"/>
        </w:rPr>
        <w:t>.D</w:t>
      </w:r>
      <w:r w:rsidRPr="00E8601E">
        <w:rPr>
          <w:rFonts w:ascii="Tahoma" w:hAnsi="Tahoma" w:cs="Tahoma"/>
          <w:sz w:val="20"/>
        </w:rPr>
        <w:t>urante este período,correções e alterações</w:t>
      </w:r>
      <w:r w:rsidR="00570073" w:rsidRPr="00E8601E">
        <w:rPr>
          <w:rFonts w:ascii="Tahoma" w:hAnsi="Tahoma" w:cs="Tahoma"/>
          <w:sz w:val="20"/>
        </w:rPr>
        <w:t xml:space="preserve"> poderão ocorrer</w:t>
      </w:r>
      <w:r w:rsidRPr="00E8601E">
        <w:rPr>
          <w:rFonts w:ascii="Tahoma" w:hAnsi="Tahoma" w:cs="Tahoma"/>
          <w:sz w:val="20"/>
        </w:rPr>
        <w:t xml:space="preserve"> para adequar mudanças na legislação aplicável, ou caso seja considerado </w:t>
      </w:r>
      <w:r w:rsidRPr="00344EA0">
        <w:rPr>
          <w:rFonts w:ascii="Tahoma" w:hAnsi="Tahoma" w:cs="Tahoma"/>
          <w:sz w:val="20"/>
        </w:rPr>
        <w:t xml:space="preserve">necessário pelo </w:t>
      </w:r>
      <w:r w:rsidR="0023730B" w:rsidRPr="0023730B">
        <w:rPr>
          <w:rFonts w:ascii="Tahoma" w:hAnsi="Tahoma" w:cs="Tahoma"/>
          <w:b/>
          <w:sz w:val="20"/>
        </w:rPr>
        <w:t>FUNDO DE PREVIDÊNCIA SOCIAL DO SERVIDOR – FPSS DE RIO DOS ÍNDIOS</w:t>
      </w:r>
      <w:r w:rsidR="00C92FBC">
        <w:rPr>
          <w:rFonts w:ascii="Tahoma" w:hAnsi="Tahoma" w:cs="Tahoma"/>
          <w:sz w:val="20"/>
        </w:rPr>
        <w:t>a</w:t>
      </w:r>
      <w:r w:rsidR="003C000C" w:rsidRPr="00344EA0">
        <w:rPr>
          <w:rFonts w:ascii="Tahoma" w:hAnsi="Tahoma" w:cs="Tahoma"/>
          <w:sz w:val="20"/>
        </w:rPr>
        <w:t xml:space="preserve">té 31 de </w:t>
      </w:r>
      <w:r w:rsidR="000A5602" w:rsidRPr="00344EA0">
        <w:rPr>
          <w:rFonts w:ascii="Tahoma" w:hAnsi="Tahoma" w:cs="Tahoma"/>
          <w:sz w:val="20"/>
        </w:rPr>
        <w:t>Outubro</w:t>
      </w:r>
      <w:r w:rsidR="00D2515A" w:rsidRPr="00344EA0">
        <w:rPr>
          <w:rFonts w:ascii="Tahoma" w:hAnsi="Tahoma" w:cs="Tahoma"/>
          <w:sz w:val="20"/>
        </w:rPr>
        <w:t xml:space="preserve"> de cada exercício e</w:t>
      </w:r>
      <w:r w:rsidR="00E029DE" w:rsidRPr="00344EA0">
        <w:rPr>
          <w:rFonts w:ascii="Tahoma" w:hAnsi="Tahoma" w:cs="Tahoma"/>
          <w:sz w:val="20"/>
        </w:rPr>
        <w:t>m relação ao exercício seguinte</w:t>
      </w:r>
      <w:r w:rsidR="00744DFB" w:rsidRPr="00344EA0">
        <w:rPr>
          <w:rFonts w:ascii="Tahoma" w:hAnsi="Tahoma" w:cs="Tahoma"/>
          <w:sz w:val="20"/>
        </w:rPr>
        <w:t>aprova-se a política anual de investiment</w:t>
      </w:r>
      <w:r w:rsidR="00645716" w:rsidRPr="00344EA0">
        <w:rPr>
          <w:rFonts w:ascii="Tahoma" w:hAnsi="Tahoma" w:cs="Tahoma"/>
          <w:sz w:val="20"/>
        </w:rPr>
        <w:t>os, que terá mandato exclusivo, ou seja, não será permitida a existência de duas políticas de investimentos abrangendo o mesmo exercício</w:t>
      </w:r>
      <w:r w:rsidR="00570073" w:rsidRPr="00344EA0">
        <w:rPr>
          <w:rFonts w:ascii="Tahoma" w:hAnsi="Tahoma" w:cs="Tahoma"/>
          <w:sz w:val="20"/>
        </w:rPr>
        <w:t xml:space="preserve"> concomitantemente em qualquer hipótese</w:t>
      </w:r>
      <w:r w:rsidR="00645716" w:rsidRPr="00344EA0">
        <w:rPr>
          <w:rFonts w:ascii="Tahoma" w:hAnsi="Tahoma" w:cs="Tahoma"/>
          <w:sz w:val="20"/>
        </w:rPr>
        <w:t>.</w:t>
      </w:r>
    </w:p>
    <w:p w:rsidR="00971BEF" w:rsidRPr="00344EA0" w:rsidRDefault="00971BEF" w:rsidP="00CD149C">
      <w:pPr>
        <w:spacing w:after="120"/>
        <w:jc w:val="both"/>
        <w:rPr>
          <w:rFonts w:ascii="Tahoma" w:hAnsi="Tahoma" w:cs="Tahoma"/>
          <w:sz w:val="20"/>
        </w:rPr>
      </w:pPr>
    </w:p>
    <w:p w:rsidR="00971BEF" w:rsidRPr="00344EA0" w:rsidRDefault="00971BEF" w:rsidP="00310447">
      <w:pPr>
        <w:pStyle w:val="Subttulo"/>
        <w:rPr>
          <w:sz w:val="20"/>
        </w:rPr>
      </w:pPr>
      <w:bookmarkStart w:id="20" w:name="_Toc436036981"/>
      <w:bookmarkStart w:id="21" w:name="_Toc496874701"/>
      <w:r w:rsidRPr="00344EA0">
        <w:rPr>
          <w:sz w:val="20"/>
        </w:rPr>
        <w:t>Dos Objetivos</w:t>
      </w:r>
      <w:bookmarkEnd w:id="20"/>
      <w:bookmarkEnd w:id="21"/>
    </w:p>
    <w:p w:rsidR="0049301F" w:rsidRPr="00E8601E" w:rsidRDefault="00F90E89" w:rsidP="00CD149C">
      <w:pPr>
        <w:spacing w:after="120"/>
        <w:jc w:val="both"/>
        <w:rPr>
          <w:rFonts w:ascii="Tahoma" w:hAnsi="Tahoma" w:cs="Tahoma"/>
          <w:sz w:val="20"/>
        </w:rPr>
      </w:pPr>
      <w:r w:rsidRPr="00344EA0">
        <w:rPr>
          <w:rFonts w:ascii="Tahoma" w:hAnsi="Tahoma" w:cs="Tahoma"/>
          <w:sz w:val="20"/>
        </w:rPr>
        <w:t xml:space="preserve">Os objetivos contemplam horizontes </w:t>
      </w:r>
      <w:r w:rsidR="00D476F5" w:rsidRPr="00344EA0">
        <w:rPr>
          <w:rFonts w:ascii="Tahoma" w:hAnsi="Tahoma" w:cs="Tahoma"/>
          <w:sz w:val="20"/>
        </w:rPr>
        <w:t>de curto prazo, bem como de longo prazo</w:t>
      </w:r>
      <w:r w:rsidRPr="00344EA0">
        <w:rPr>
          <w:rFonts w:ascii="Tahoma" w:hAnsi="Tahoma" w:cs="Tahoma"/>
          <w:sz w:val="20"/>
        </w:rPr>
        <w:t>. Em essência, o</w:t>
      </w:r>
      <w:r w:rsidR="005C3293" w:rsidRPr="00344EA0">
        <w:rPr>
          <w:rFonts w:ascii="Tahoma" w:hAnsi="Tahoma" w:cs="Tahoma"/>
          <w:sz w:val="20"/>
        </w:rPr>
        <w:t xml:space="preserve"> regime próprio</w:t>
      </w:r>
      <w:r w:rsidR="00DF4FF1" w:rsidRPr="00344EA0">
        <w:rPr>
          <w:rFonts w:ascii="Tahoma" w:hAnsi="Tahoma" w:cs="Tahoma"/>
          <w:sz w:val="20"/>
        </w:rPr>
        <w:t xml:space="preserve"> de previdência social dos servidores públicos d</w:t>
      </w:r>
      <w:r w:rsidR="005C3293" w:rsidRPr="00344EA0">
        <w:rPr>
          <w:rFonts w:ascii="Tahoma" w:hAnsi="Tahoma" w:cs="Tahoma"/>
          <w:sz w:val="20"/>
        </w:rPr>
        <w:t>o</w:t>
      </w:r>
      <w:r w:rsidR="00C27CE8" w:rsidRPr="00344EA0">
        <w:rPr>
          <w:rFonts w:ascii="Tahoma" w:hAnsi="Tahoma" w:cs="Tahoma"/>
          <w:b/>
          <w:sz w:val="20"/>
        </w:rPr>
        <w:t xml:space="preserve">MUNICÍPIO DE </w:t>
      </w:r>
      <w:r w:rsidR="00C27CE8" w:rsidRPr="009A5912">
        <w:rPr>
          <w:rFonts w:ascii="Tahoma" w:hAnsi="Tahoma" w:cs="Tahoma"/>
          <w:b/>
          <w:sz w:val="20"/>
        </w:rPr>
        <w:t>RIO DOS ÍNDIOS</w:t>
      </w:r>
      <w:r w:rsidR="00E80C54" w:rsidRPr="00344EA0">
        <w:rPr>
          <w:rFonts w:ascii="Tahoma" w:hAnsi="Tahoma" w:cs="Tahoma"/>
          <w:sz w:val="20"/>
        </w:rPr>
        <w:t>deve</w:t>
      </w:r>
      <w:r w:rsidR="00DF4FF1" w:rsidRPr="00344EA0">
        <w:rPr>
          <w:rFonts w:ascii="Tahoma" w:hAnsi="Tahoma" w:cs="Tahoma"/>
          <w:sz w:val="20"/>
        </w:rPr>
        <w:t xml:space="preserve"> ser organizado </w:t>
      </w:r>
      <w:r w:rsidR="00C44536" w:rsidRPr="00344EA0">
        <w:rPr>
          <w:rFonts w:ascii="Tahoma" w:hAnsi="Tahoma" w:cs="Tahoma"/>
          <w:sz w:val="20"/>
        </w:rPr>
        <w:t xml:space="preserve">para </w:t>
      </w:r>
      <w:r w:rsidR="00DF4FF1" w:rsidRPr="00344EA0">
        <w:rPr>
          <w:rFonts w:ascii="Tahoma" w:hAnsi="Tahoma" w:cs="Tahoma"/>
          <w:sz w:val="20"/>
        </w:rPr>
        <w:t xml:space="preserve">garantir </w:t>
      </w:r>
      <w:r w:rsidR="00D476F5" w:rsidRPr="00344EA0">
        <w:rPr>
          <w:rFonts w:ascii="Tahoma" w:hAnsi="Tahoma" w:cs="Tahoma"/>
          <w:sz w:val="20"/>
        </w:rPr>
        <w:t xml:space="preserve">a cobertura contínua dos seus segurados por meio do plano de benefícios. Para isso, </w:t>
      </w:r>
      <w:r w:rsidR="00DF4FF1" w:rsidRPr="00344EA0">
        <w:rPr>
          <w:rFonts w:ascii="Tahoma" w:hAnsi="Tahoma" w:cs="Tahoma"/>
          <w:sz w:val="20"/>
        </w:rPr>
        <w:t>o seu equilíbrio financeiro</w:t>
      </w:r>
      <w:r w:rsidR="00D476F5" w:rsidRPr="00344EA0">
        <w:rPr>
          <w:rFonts w:ascii="Tahoma" w:hAnsi="Tahoma" w:cs="Tahoma"/>
          <w:sz w:val="20"/>
        </w:rPr>
        <w:t xml:space="preserve"> e, principalmente,</w:t>
      </w:r>
      <w:r w:rsidR="00DF4FF1" w:rsidRPr="00344EA0">
        <w:rPr>
          <w:rFonts w:ascii="Tahoma" w:hAnsi="Tahoma" w:cs="Tahoma"/>
          <w:sz w:val="20"/>
        </w:rPr>
        <w:t xml:space="preserve"> atuarial</w:t>
      </w:r>
      <w:r w:rsidR="00D476F5" w:rsidRPr="00344EA0">
        <w:rPr>
          <w:rFonts w:ascii="Tahoma" w:hAnsi="Tahoma" w:cs="Tahoma"/>
          <w:sz w:val="20"/>
        </w:rPr>
        <w:t xml:space="preserve"> representa o seu objetivo de longo prazo.Além disso, precisa visar</w:t>
      </w:r>
      <w:r w:rsidR="00D476F5" w:rsidRPr="00E8601E">
        <w:rPr>
          <w:rFonts w:ascii="Tahoma" w:hAnsi="Tahoma" w:cs="Tahoma"/>
          <w:sz w:val="20"/>
        </w:rPr>
        <w:t xml:space="preserve"> permanentemente à construção de</w:t>
      </w:r>
      <w:r w:rsidR="0093513C" w:rsidRPr="00E8601E">
        <w:rPr>
          <w:rFonts w:ascii="Tahoma" w:hAnsi="Tahoma" w:cs="Tahoma"/>
          <w:sz w:val="20"/>
        </w:rPr>
        <w:t xml:space="preserve"> processos de</w:t>
      </w:r>
      <w:r w:rsidR="005C3293" w:rsidRPr="00E8601E">
        <w:rPr>
          <w:rFonts w:ascii="Tahoma" w:hAnsi="Tahoma" w:cs="Tahoma"/>
          <w:sz w:val="20"/>
        </w:rPr>
        <w:t>pleno acesso dos segurados às informações relativas à gestão do regime e participação de representantes dos servidores públicos, ativos e inativos, nos colegiados e instâncias de decisão em que os seus interesses sejam ob</w:t>
      </w:r>
      <w:r w:rsidR="00C44536" w:rsidRPr="00E8601E">
        <w:rPr>
          <w:rFonts w:ascii="Tahoma" w:hAnsi="Tahoma" w:cs="Tahoma"/>
          <w:sz w:val="20"/>
        </w:rPr>
        <w:t>jeto de discussão e deliberação</w:t>
      </w:r>
      <w:r w:rsidR="00D476F5" w:rsidRPr="00E8601E">
        <w:rPr>
          <w:rFonts w:ascii="Tahoma" w:hAnsi="Tahoma" w:cs="Tahoma"/>
          <w:sz w:val="20"/>
        </w:rPr>
        <w:t>, nos termos doa</w:t>
      </w:r>
      <w:r w:rsidR="00C44536" w:rsidRPr="00E8601E">
        <w:rPr>
          <w:rFonts w:ascii="Tahoma" w:hAnsi="Tahoma" w:cs="Tahoma"/>
          <w:sz w:val="20"/>
        </w:rPr>
        <w:t>rt. 6</w:t>
      </w:r>
      <w:r w:rsidR="000C0CA1" w:rsidRPr="00E8601E">
        <w:rPr>
          <w:rFonts w:ascii="Tahoma" w:hAnsi="Tahoma" w:cs="Tahoma"/>
          <w:sz w:val="20"/>
        </w:rPr>
        <w:t>º</w:t>
      </w:r>
      <w:r w:rsidR="00C44536" w:rsidRPr="00E8601E">
        <w:rPr>
          <w:rFonts w:ascii="Tahoma" w:hAnsi="Tahoma" w:cs="Tahoma"/>
          <w:sz w:val="20"/>
        </w:rPr>
        <w:t xml:space="preserve">, </w:t>
      </w:r>
      <w:r w:rsidR="000C0CA1" w:rsidRPr="00E8601E">
        <w:rPr>
          <w:rFonts w:ascii="Tahoma" w:hAnsi="Tahoma" w:cs="Tahoma"/>
          <w:sz w:val="20"/>
        </w:rPr>
        <w:t>I</w:t>
      </w:r>
      <w:r w:rsidR="00C44536" w:rsidRPr="00E8601E">
        <w:rPr>
          <w:rFonts w:ascii="Tahoma" w:hAnsi="Tahoma" w:cs="Tahoma"/>
          <w:sz w:val="20"/>
        </w:rPr>
        <w:t xml:space="preserve">nciso </w:t>
      </w:r>
      <w:r w:rsidR="000C0CA1" w:rsidRPr="00E8601E">
        <w:rPr>
          <w:rFonts w:ascii="Tahoma" w:hAnsi="Tahoma" w:cs="Tahoma"/>
          <w:sz w:val="20"/>
        </w:rPr>
        <w:t xml:space="preserve">IV e </w:t>
      </w:r>
      <w:r w:rsidR="00D476F5" w:rsidRPr="00E8601E">
        <w:rPr>
          <w:rFonts w:ascii="Tahoma" w:hAnsi="Tahoma" w:cs="Tahoma"/>
          <w:sz w:val="20"/>
        </w:rPr>
        <w:t>a</w:t>
      </w:r>
      <w:r w:rsidR="00C44536" w:rsidRPr="00E8601E">
        <w:rPr>
          <w:rFonts w:ascii="Tahoma" w:hAnsi="Tahoma" w:cs="Tahoma"/>
          <w:sz w:val="20"/>
        </w:rPr>
        <w:t xml:space="preserve">rt. 1º, </w:t>
      </w:r>
      <w:r w:rsidR="000C0CA1" w:rsidRPr="00E8601E">
        <w:rPr>
          <w:rFonts w:ascii="Tahoma" w:hAnsi="Tahoma" w:cs="Tahoma"/>
          <w:sz w:val="20"/>
        </w:rPr>
        <w:t>I</w:t>
      </w:r>
      <w:r w:rsidR="00C44536" w:rsidRPr="00E8601E">
        <w:rPr>
          <w:rFonts w:ascii="Tahoma" w:hAnsi="Tahoma" w:cs="Tahoma"/>
          <w:sz w:val="20"/>
        </w:rPr>
        <w:t>nciso VI</w:t>
      </w:r>
      <w:r w:rsidR="00D476F5" w:rsidRPr="00E8601E">
        <w:rPr>
          <w:rFonts w:ascii="Tahoma" w:hAnsi="Tahoma" w:cs="Tahoma"/>
          <w:sz w:val="20"/>
        </w:rPr>
        <w:t xml:space="preserve"> da</w:t>
      </w:r>
      <w:r w:rsidR="000C0CA1" w:rsidRPr="00E8601E">
        <w:rPr>
          <w:rFonts w:ascii="Tahoma" w:hAnsi="Tahoma" w:cs="Tahoma"/>
          <w:sz w:val="20"/>
        </w:rPr>
        <w:t xml:space="preserve"> Lei 9.717/98.</w:t>
      </w:r>
    </w:p>
    <w:p w:rsidR="005B1453" w:rsidRPr="00E8601E" w:rsidRDefault="00651EA9" w:rsidP="00CD149C">
      <w:pPr>
        <w:spacing w:after="120"/>
        <w:jc w:val="both"/>
        <w:rPr>
          <w:rFonts w:ascii="Tahoma" w:hAnsi="Tahoma" w:cs="Tahoma"/>
          <w:sz w:val="20"/>
        </w:rPr>
      </w:pPr>
      <w:r w:rsidRPr="00E8601E">
        <w:rPr>
          <w:rFonts w:ascii="Tahoma" w:hAnsi="Tahoma" w:cs="Tahoma"/>
          <w:sz w:val="20"/>
        </w:rPr>
        <w:t>Nesse sentido</w:t>
      </w:r>
      <w:r w:rsidR="00D80017" w:rsidRPr="00E8601E">
        <w:rPr>
          <w:rFonts w:ascii="Tahoma" w:hAnsi="Tahoma" w:cs="Tahoma"/>
          <w:sz w:val="20"/>
        </w:rPr>
        <w:t>,</w:t>
      </w:r>
      <w:r w:rsidR="0049301F" w:rsidRPr="00E8601E">
        <w:rPr>
          <w:rFonts w:ascii="Tahoma" w:hAnsi="Tahoma" w:cs="Tahoma"/>
          <w:sz w:val="20"/>
        </w:rPr>
        <w:t xml:space="preserve"> a Política de Investimentos define</w:t>
      </w:r>
      <w:r w:rsidR="005B1453" w:rsidRPr="00E8601E">
        <w:rPr>
          <w:rFonts w:ascii="Tahoma" w:hAnsi="Tahoma" w:cs="Tahoma"/>
          <w:sz w:val="20"/>
        </w:rPr>
        <w:t xml:space="preserve"> a estratégia de </w:t>
      </w:r>
      <w:r w:rsidR="00D80017" w:rsidRPr="00E8601E">
        <w:rPr>
          <w:rFonts w:ascii="Tahoma" w:hAnsi="Tahoma" w:cs="Tahoma"/>
          <w:sz w:val="20"/>
        </w:rPr>
        <w:t>aplicação dos recursos</w:t>
      </w:r>
      <w:r w:rsidR="00763A44" w:rsidRPr="00E8601E">
        <w:rPr>
          <w:rFonts w:ascii="Tahoma" w:hAnsi="Tahoma" w:cs="Tahoma"/>
          <w:sz w:val="20"/>
        </w:rPr>
        <w:t xml:space="preserve"> no curto prazo.A</w:t>
      </w:r>
      <w:r w:rsidR="00177C38" w:rsidRPr="00E8601E">
        <w:rPr>
          <w:rFonts w:ascii="Tahoma" w:hAnsi="Tahoma" w:cs="Tahoma"/>
          <w:sz w:val="20"/>
        </w:rPr>
        <w:t>nualmente, é necessário selecionar</w:t>
      </w:r>
      <w:r w:rsidR="005B1453" w:rsidRPr="00E8601E">
        <w:rPr>
          <w:rFonts w:ascii="Tahoma" w:hAnsi="Tahoma" w:cs="Tahoma"/>
          <w:sz w:val="20"/>
        </w:rPr>
        <w:t xml:space="preserve">os diversos segmentos de aplicação e as respectivas carteiras de investimentos de acordo com o perfil das obrigações do </w:t>
      </w:r>
      <w:r w:rsidR="0049301F" w:rsidRPr="00E8601E">
        <w:rPr>
          <w:rFonts w:ascii="Tahoma" w:hAnsi="Tahoma" w:cs="Tahoma"/>
          <w:sz w:val="20"/>
        </w:rPr>
        <w:t>respectivo regime próprio de previdência social</w:t>
      </w:r>
      <w:r w:rsidR="005B1453" w:rsidRPr="00E8601E">
        <w:rPr>
          <w:rFonts w:ascii="Tahoma" w:hAnsi="Tahoma" w:cs="Tahoma"/>
          <w:sz w:val="20"/>
        </w:rPr>
        <w:t xml:space="preserve">, </w:t>
      </w:r>
      <w:r w:rsidR="00763A44" w:rsidRPr="00E8601E">
        <w:rPr>
          <w:rFonts w:ascii="Tahoma" w:hAnsi="Tahoma" w:cs="Tahoma"/>
          <w:sz w:val="20"/>
        </w:rPr>
        <w:t xml:space="preserve">observados os critérios para aplicação dos recursos, conforme estabelecido pelo Conselho Monetário Nacional, </w:t>
      </w:r>
      <w:r w:rsidR="005B1453" w:rsidRPr="00E8601E">
        <w:rPr>
          <w:rFonts w:ascii="Tahoma" w:hAnsi="Tahoma" w:cs="Tahoma"/>
          <w:sz w:val="20"/>
        </w:rPr>
        <w:t>tendo em vista a necessidade de busca</w:t>
      </w:r>
      <w:r w:rsidR="0049301F" w:rsidRPr="00E8601E">
        <w:rPr>
          <w:rFonts w:ascii="Tahoma" w:hAnsi="Tahoma" w:cs="Tahoma"/>
          <w:sz w:val="20"/>
        </w:rPr>
        <w:t>ra</w:t>
      </w:r>
      <w:r w:rsidR="005B1453" w:rsidRPr="00E8601E">
        <w:rPr>
          <w:rFonts w:ascii="Tahoma" w:hAnsi="Tahoma" w:cs="Tahoma"/>
          <w:sz w:val="20"/>
        </w:rPr>
        <w:t xml:space="preserve"> manutenção do equilíbrio financeiro e atuarial e os limites de diversificação e concentração previstos na referida legislação.</w:t>
      </w:r>
    </w:p>
    <w:p w:rsidR="005B1453" w:rsidRPr="00E8601E" w:rsidRDefault="00592455" w:rsidP="00CD149C">
      <w:pPr>
        <w:spacing w:after="120"/>
        <w:jc w:val="both"/>
        <w:rPr>
          <w:rFonts w:ascii="Tahoma" w:hAnsi="Tahoma" w:cs="Tahoma"/>
          <w:sz w:val="20"/>
        </w:rPr>
      </w:pPr>
      <w:r w:rsidRPr="00E8601E">
        <w:rPr>
          <w:rFonts w:ascii="Tahoma" w:hAnsi="Tahoma" w:cs="Tahoma"/>
          <w:sz w:val="20"/>
        </w:rPr>
        <w:t xml:space="preserve">Por </w:t>
      </w:r>
      <w:r w:rsidRPr="00344EA0">
        <w:rPr>
          <w:rFonts w:ascii="Tahoma" w:hAnsi="Tahoma" w:cs="Tahoma"/>
          <w:sz w:val="20"/>
        </w:rPr>
        <w:t>conseguinte,</w:t>
      </w:r>
      <w:r w:rsidR="0049301F" w:rsidRPr="00344EA0">
        <w:rPr>
          <w:rFonts w:ascii="Tahoma" w:hAnsi="Tahoma" w:cs="Tahoma"/>
          <w:sz w:val="20"/>
        </w:rPr>
        <w:t xml:space="preserve"> o </w:t>
      </w:r>
      <w:r w:rsidR="0023730B" w:rsidRPr="0023730B">
        <w:rPr>
          <w:rFonts w:ascii="Tahoma" w:hAnsi="Tahoma" w:cs="Tahoma"/>
          <w:b/>
          <w:sz w:val="20"/>
        </w:rPr>
        <w:t>FUNDO DE PREVIDÊNCIA SOCIAL DO SERVIDOR – FPSS DE RIO DOS ÍNDIOS</w:t>
      </w:r>
      <w:r w:rsidR="0049301F" w:rsidRPr="00344EA0">
        <w:rPr>
          <w:rFonts w:ascii="Tahoma" w:hAnsi="Tahoma" w:cs="Tahoma"/>
          <w:sz w:val="20"/>
        </w:rPr>
        <w:t>precisa b</w:t>
      </w:r>
      <w:r w:rsidR="005B1453" w:rsidRPr="00344EA0">
        <w:rPr>
          <w:rFonts w:ascii="Tahoma" w:hAnsi="Tahoma" w:cs="Tahoma"/>
          <w:sz w:val="20"/>
        </w:rPr>
        <w:t xml:space="preserve">uscar, através da aplicação dos </w:t>
      </w:r>
      <w:r w:rsidR="0049301F" w:rsidRPr="00344EA0">
        <w:rPr>
          <w:rFonts w:ascii="Tahoma" w:hAnsi="Tahoma" w:cs="Tahoma"/>
          <w:sz w:val="20"/>
        </w:rPr>
        <w:t xml:space="preserve">seus </w:t>
      </w:r>
      <w:r w:rsidR="005B1453" w:rsidRPr="00344EA0">
        <w:rPr>
          <w:rFonts w:ascii="Tahoma" w:hAnsi="Tahoma" w:cs="Tahoma"/>
          <w:sz w:val="20"/>
        </w:rPr>
        <w:t xml:space="preserve">recursos, uma rentabilidade igual ou superior à </w:t>
      </w:r>
      <w:r w:rsidR="0049301F" w:rsidRPr="00344EA0">
        <w:rPr>
          <w:rFonts w:ascii="Tahoma" w:hAnsi="Tahoma" w:cs="Tahoma"/>
          <w:sz w:val="20"/>
        </w:rPr>
        <w:t xml:space="preserve">sua </w:t>
      </w:r>
      <w:r w:rsidR="005B1453" w:rsidRPr="00344EA0">
        <w:rPr>
          <w:rFonts w:ascii="Tahoma" w:hAnsi="Tahoma" w:cs="Tahoma"/>
          <w:sz w:val="20"/>
        </w:rPr>
        <w:t>meta atuarial</w:t>
      </w:r>
      <w:r w:rsidR="008A0CDF" w:rsidRPr="00344EA0">
        <w:rPr>
          <w:rFonts w:ascii="Tahoma" w:hAnsi="Tahoma" w:cs="Tahoma"/>
          <w:sz w:val="20"/>
        </w:rPr>
        <w:t>. Com base no horizonte de longo prazo,</w:t>
      </w:r>
      <w:r w:rsidR="00A863DD" w:rsidRPr="00344EA0">
        <w:rPr>
          <w:rFonts w:ascii="Tahoma" w:hAnsi="Tahoma" w:cs="Tahoma"/>
          <w:sz w:val="20"/>
        </w:rPr>
        <w:t>e a situação financeira e atuarial observada atualmente,</w:t>
      </w:r>
      <w:r w:rsidR="008A0CDF" w:rsidRPr="00344EA0">
        <w:rPr>
          <w:rFonts w:ascii="Tahoma" w:hAnsi="Tahoma" w:cs="Tahoma"/>
          <w:sz w:val="20"/>
        </w:rPr>
        <w:t xml:space="preserve"> a </w:t>
      </w:r>
      <w:r w:rsidR="008A0CDF" w:rsidRPr="00344EA0">
        <w:rPr>
          <w:rFonts w:ascii="Tahoma" w:hAnsi="Tahoma" w:cs="Tahoma"/>
          <w:b/>
          <w:sz w:val="20"/>
        </w:rPr>
        <w:t>META ATUARIAL</w:t>
      </w:r>
      <w:r w:rsidR="00A863DD" w:rsidRPr="00344EA0">
        <w:rPr>
          <w:rFonts w:ascii="Tahoma" w:hAnsi="Tahoma" w:cs="Tahoma"/>
          <w:sz w:val="20"/>
        </w:rPr>
        <w:t xml:space="preserve">, definida </w:t>
      </w:r>
      <w:r w:rsidR="003663FD" w:rsidRPr="00344EA0">
        <w:rPr>
          <w:rFonts w:ascii="Tahoma" w:hAnsi="Tahoma" w:cs="Tahoma"/>
          <w:sz w:val="20"/>
        </w:rPr>
        <w:t>e aprovada juntamente com a Política de Investimentos</w:t>
      </w:r>
      <w:r w:rsidR="00A863DD" w:rsidRPr="00344EA0">
        <w:rPr>
          <w:rFonts w:ascii="Tahoma" w:hAnsi="Tahoma" w:cs="Tahoma"/>
          <w:sz w:val="20"/>
        </w:rPr>
        <w:t>,</w:t>
      </w:r>
      <w:r w:rsidR="00F76AE0" w:rsidRPr="00344EA0">
        <w:rPr>
          <w:rFonts w:ascii="Tahoma" w:hAnsi="Tahoma" w:cs="Tahoma"/>
          <w:sz w:val="20"/>
        </w:rPr>
        <w:t>será</w:t>
      </w:r>
      <w:r w:rsidR="00A863DD" w:rsidRPr="00344EA0">
        <w:rPr>
          <w:rFonts w:ascii="Tahoma" w:hAnsi="Tahoma" w:cs="Tahoma"/>
          <w:sz w:val="20"/>
        </w:rPr>
        <w:t>representada</w:t>
      </w:r>
      <w:r w:rsidR="008A0CDF" w:rsidRPr="00344EA0">
        <w:rPr>
          <w:rFonts w:ascii="Tahoma" w:hAnsi="Tahoma" w:cs="Tahoma"/>
          <w:sz w:val="20"/>
        </w:rPr>
        <w:t xml:space="preserve"> pelo </w:t>
      </w:r>
      <w:r w:rsidR="00AA67B5" w:rsidRPr="00344EA0">
        <w:rPr>
          <w:rFonts w:ascii="Tahoma" w:hAnsi="Tahoma" w:cs="Tahoma"/>
          <w:i/>
          <w:sz w:val="20"/>
        </w:rPr>
        <w:t xml:space="preserve">benchmark </w:t>
      </w:r>
      <w:r w:rsidR="005B1453" w:rsidRPr="00344EA0">
        <w:rPr>
          <w:rFonts w:ascii="Tahoma" w:hAnsi="Tahoma" w:cs="Tahoma"/>
          <w:b/>
          <w:sz w:val="20"/>
        </w:rPr>
        <w:t>I</w:t>
      </w:r>
      <w:r w:rsidR="00442B3C" w:rsidRPr="00344EA0">
        <w:rPr>
          <w:rFonts w:ascii="Tahoma" w:hAnsi="Tahoma" w:cs="Tahoma"/>
          <w:b/>
          <w:sz w:val="20"/>
        </w:rPr>
        <w:t>N</w:t>
      </w:r>
      <w:r w:rsidR="005B1453" w:rsidRPr="00344EA0">
        <w:rPr>
          <w:rFonts w:ascii="Tahoma" w:hAnsi="Tahoma" w:cs="Tahoma"/>
          <w:b/>
          <w:sz w:val="20"/>
        </w:rPr>
        <w:t xml:space="preserve">PC </w:t>
      </w:r>
      <w:r w:rsidR="00AA67B5" w:rsidRPr="00344EA0">
        <w:rPr>
          <w:rFonts w:ascii="Tahoma" w:hAnsi="Tahoma" w:cs="Tahoma"/>
          <w:b/>
          <w:sz w:val="20"/>
        </w:rPr>
        <w:t>ACRESCIDO DE</w:t>
      </w:r>
      <w:r w:rsidR="005B1453" w:rsidRPr="00344EA0">
        <w:rPr>
          <w:rFonts w:ascii="Tahoma" w:hAnsi="Tahoma" w:cs="Tahoma"/>
          <w:b/>
          <w:sz w:val="20"/>
        </w:rPr>
        <w:t xml:space="preserve"> 6% a.a.</w:t>
      </w:r>
      <w:r w:rsidR="00AA67B5" w:rsidRPr="00344EA0">
        <w:rPr>
          <w:rFonts w:ascii="Tahoma" w:hAnsi="Tahoma" w:cs="Tahoma"/>
          <w:b/>
          <w:sz w:val="20"/>
        </w:rPr>
        <w:t xml:space="preserve"> (I</w:t>
      </w:r>
      <w:r w:rsidR="00442B3C" w:rsidRPr="00344EA0">
        <w:rPr>
          <w:rFonts w:ascii="Tahoma" w:hAnsi="Tahoma" w:cs="Tahoma"/>
          <w:b/>
          <w:sz w:val="20"/>
        </w:rPr>
        <w:t>N</w:t>
      </w:r>
      <w:r w:rsidR="00AA67B5" w:rsidRPr="00344EA0">
        <w:rPr>
          <w:rFonts w:ascii="Tahoma" w:hAnsi="Tahoma" w:cs="Tahoma"/>
          <w:b/>
          <w:sz w:val="20"/>
        </w:rPr>
        <w:t>PC + 6% a.a.)</w:t>
      </w:r>
      <w:r w:rsidR="00AA67B5" w:rsidRPr="00344EA0">
        <w:rPr>
          <w:rFonts w:ascii="Tahoma" w:hAnsi="Tahoma" w:cs="Tahoma"/>
          <w:sz w:val="20"/>
        </w:rPr>
        <w:t>.</w:t>
      </w:r>
      <w:r w:rsidR="00033A9C" w:rsidRPr="00344EA0">
        <w:rPr>
          <w:rFonts w:ascii="Tahoma" w:hAnsi="Tahoma" w:cs="Tahoma"/>
          <w:sz w:val="20"/>
        </w:rPr>
        <w:t xml:space="preserve">Institui-se também os objetivos de </w:t>
      </w:r>
      <w:r w:rsidR="00826E22" w:rsidRPr="00344EA0">
        <w:rPr>
          <w:rFonts w:ascii="Tahoma" w:hAnsi="Tahoma" w:cs="Tahoma"/>
          <w:sz w:val="20"/>
        </w:rPr>
        <w:t>a</w:t>
      </w:r>
      <w:r w:rsidR="005B1453" w:rsidRPr="00344EA0">
        <w:rPr>
          <w:rFonts w:ascii="Tahoma" w:hAnsi="Tahoma" w:cs="Tahoma"/>
          <w:sz w:val="20"/>
        </w:rPr>
        <w:t xml:space="preserve">ssegurar que os gestores, servidores, participantes, beneficiários, prestadores de serviços e órgãos reguladores do </w:t>
      </w:r>
      <w:r w:rsidR="00A8544A">
        <w:rPr>
          <w:rFonts w:ascii="Tahoma" w:hAnsi="Tahoma" w:cs="Tahoma"/>
          <w:b/>
          <w:sz w:val="20"/>
        </w:rPr>
        <w:t>RPPS</w:t>
      </w:r>
      <w:r w:rsidR="005B1453" w:rsidRPr="00344EA0">
        <w:rPr>
          <w:rFonts w:ascii="Tahoma" w:hAnsi="Tahoma" w:cs="Tahoma"/>
          <w:sz w:val="20"/>
        </w:rPr>
        <w:t xml:space="preserve"> tenham o claro entendimento</w:t>
      </w:r>
      <w:r w:rsidR="005B1453" w:rsidRPr="00E8601E">
        <w:rPr>
          <w:rFonts w:ascii="Tahoma" w:hAnsi="Tahoma" w:cs="Tahoma"/>
          <w:sz w:val="20"/>
        </w:rPr>
        <w:t xml:space="preserve"> dos objetivos e restrições relativas aos investimentos;</w:t>
      </w:r>
      <w:r w:rsidR="00033A9C" w:rsidRPr="00E8601E">
        <w:rPr>
          <w:rFonts w:ascii="Tahoma" w:hAnsi="Tahoma" w:cs="Tahoma"/>
          <w:sz w:val="20"/>
        </w:rPr>
        <w:t xml:space="preserve">e </w:t>
      </w:r>
      <w:r w:rsidR="00826E22" w:rsidRPr="00E8601E">
        <w:rPr>
          <w:rFonts w:ascii="Tahoma" w:hAnsi="Tahoma" w:cs="Tahoma"/>
          <w:sz w:val="20"/>
        </w:rPr>
        <w:t>g</w:t>
      </w:r>
      <w:r w:rsidR="005B1453" w:rsidRPr="00E8601E">
        <w:rPr>
          <w:rFonts w:ascii="Tahoma" w:hAnsi="Tahoma" w:cs="Tahoma"/>
          <w:sz w:val="20"/>
        </w:rPr>
        <w:t>arantir transparência e ética no processo de investimento, o qual deve ser feito seguindo diretrizes, normas e critérios</w:t>
      </w:r>
      <w:r w:rsidR="00BD7D46" w:rsidRPr="00E8601E">
        <w:rPr>
          <w:rFonts w:ascii="Tahoma" w:hAnsi="Tahoma" w:cs="Tahoma"/>
          <w:sz w:val="20"/>
        </w:rPr>
        <w:t>.</w:t>
      </w:r>
    </w:p>
    <w:p w:rsidR="005B1453" w:rsidRPr="00E8601E" w:rsidRDefault="005B1453" w:rsidP="00251F7D">
      <w:pPr>
        <w:spacing w:after="120"/>
        <w:jc w:val="both"/>
        <w:rPr>
          <w:sz w:val="20"/>
        </w:rPr>
      </w:pPr>
      <w:r w:rsidRPr="00E8601E">
        <w:rPr>
          <w:rFonts w:ascii="Tahoma" w:hAnsi="Tahoma" w:cs="Tahoma"/>
          <w:b/>
          <w:sz w:val="20"/>
        </w:rPr>
        <w:br w:type="page"/>
      </w:r>
      <w:bookmarkStart w:id="22" w:name="_Toc341970892"/>
      <w:bookmarkStart w:id="23" w:name="_Toc436036982"/>
      <w:bookmarkStart w:id="24" w:name="_Toc496874702"/>
      <w:r w:rsidRPr="00E8601E">
        <w:rPr>
          <w:rStyle w:val="Ttulo1Char"/>
          <w:sz w:val="22"/>
        </w:rPr>
        <w:lastRenderedPageBreak/>
        <w:t>MODELO DE GESTÃO</w:t>
      </w:r>
      <w:bookmarkEnd w:id="22"/>
      <w:r w:rsidR="00E72D42" w:rsidRPr="00E8601E">
        <w:rPr>
          <w:rStyle w:val="Ttulo1Char"/>
          <w:sz w:val="22"/>
        </w:rPr>
        <w:t xml:space="preserve"> E SERVIÇOS ESPECIALIZADOS</w:t>
      </w:r>
      <w:bookmarkEnd w:id="23"/>
      <w:bookmarkEnd w:id="24"/>
      <w:r w:rsidR="000E119C" w:rsidRPr="00E8601E">
        <w:rPr>
          <w:sz w:val="20"/>
        </w:rPr>
        <w:object w:dxaOrig="3163" w:dyaOrig="3187">
          <v:shape id="_x0000_i1031" type="#_x0000_t75" style="width:23.25pt;height:23.25pt" o:ole="">
            <v:imagedata r:id="rId10" o:title=""/>
          </v:shape>
          <o:OLEObject Type="Embed" ProgID="CorelDRAW.Graphic.13" ShapeID="_x0000_i1031" DrawAspect="Content" ObjectID="_1608620654" r:id="rId16"/>
        </w:object>
      </w:r>
    </w:p>
    <w:p w:rsidR="005B1453" w:rsidRPr="00E8601E" w:rsidRDefault="005B1453" w:rsidP="00CD149C">
      <w:pPr>
        <w:spacing w:after="120"/>
        <w:jc w:val="both"/>
        <w:rPr>
          <w:rFonts w:ascii="Tahoma" w:hAnsi="Tahoma" w:cs="Tahoma"/>
          <w:sz w:val="20"/>
        </w:rPr>
      </w:pPr>
    </w:p>
    <w:p w:rsidR="00A37C10" w:rsidRPr="00E8601E" w:rsidRDefault="00B11599" w:rsidP="00310447">
      <w:pPr>
        <w:pStyle w:val="Subttulo"/>
        <w:rPr>
          <w:sz w:val="20"/>
        </w:rPr>
      </w:pPr>
      <w:bookmarkStart w:id="25" w:name="_Toc436036983"/>
      <w:bookmarkStart w:id="26" w:name="_Toc496874703"/>
      <w:r w:rsidRPr="00E8601E">
        <w:rPr>
          <w:sz w:val="20"/>
        </w:rPr>
        <w:t>Do Modelo de Gestão</w:t>
      </w:r>
      <w:bookmarkEnd w:id="25"/>
      <w:bookmarkEnd w:id="26"/>
    </w:p>
    <w:p w:rsidR="00B574D6" w:rsidRPr="00344EA0" w:rsidRDefault="00C5789C" w:rsidP="00CD149C">
      <w:pPr>
        <w:spacing w:after="120"/>
        <w:jc w:val="both"/>
        <w:rPr>
          <w:rFonts w:ascii="Tahoma" w:hAnsi="Tahoma" w:cs="Tahoma"/>
          <w:sz w:val="20"/>
        </w:rPr>
      </w:pPr>
      <w:r>
        <w:rPr>
          <w:rFonts w:ascii="Tahoma" w:hAnsi="Tahoma" w:cs="Tahoma"/>
          <w:noProof/>
          <w:sz w:val="20"/>
        </w:rPr>
        <w:pict>
          <v:shapetype id="_x0000_t32" coordsize="21600,21600" o:spt="32" o:oned="t" path="m,l21600,21600e" filled="f">
            <v:path arrowok="t" fillok="f" o:connecttype="none"/>
            <o:lock v:ext="edit" shapetype="t"/>
          </v:shapetype>
          <v:shape id="AutoShape 8" o:spid="_x0000_s1043" type="#_x0000_t32" style="position:absolute;left:0;text-align:left;margin-left:53.4pt;margin-top:185.25pt;width:0;height:136.35pt;rotation:90;z-index:2516695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" strokecolor="#1f497d [3215]" strokeweight=".25pt">
            <v:stroke dashstyle="dash" endarrow="block"/>
          </v:shape>
        </w:pict>
      </w:r>
      <w:r>
        <w:rPr>
          <w:rFonts w:ascii="Tahoma" w:hAnsi="Tahoma" w:cs="Tahoma"/>
          <w:noProof/>
          <w:sz w:val="20"/>
        </w:rPr>
        <w:pict>
          <v:shape id="AutoShape 7" o:spid="_x0000_s1042" type="#_x0000_t32" style="position:absolute;left:0;text-align:left;margin-left:-159.25pt;margin-top:53.75pt;width:291.7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" strokecolor="#1f497d [3215]" strokeweight=".25pt">
            <v:stroke dashstyle="dash" endarrow="block"/>
          </v:shape>
        </w:pict>
      </w:r>
      <w:r>
        <w:rPr>
          <w:rFonts w:ascii="Tahoma" w:hAnsi="Tahoma" w:cs="Tahoma"/>
          <w:noProof/>
          <w:sz w:val="20"/>
        </w:rPr>
        <w:pict>
          <v:shape id="Text Box 5" o:spid="_x0000_s1028" type="#_x0000_t202" style="position:absolute;left:0;text-align:left;margin-left:-89.4pt;margin-top:114.5pt;width:211.5pt;height:98.8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" filled="f" stroked="f">
            <v:textbox>
              <w:txbxContent>
                <w:p w:rsidR="009A5912" w:rsidRPr="00094E55" w:rsidRDefault="009A5912" w:rsidP="00CC0E8C">
                  <w:pPr>
                    <w:jc w:val="center"/>
                    <w:rPr>
                      <w:rFonts w:ascii="Bradley Hand ITC" w:hAnsi="Bradley Hand ITC"/>
                      <w:b/>
                      <w:color w:val="002060"/>
                      <w:sz w:val="24"/>
                      <w:szCs w:val="24"/>
                    </w:rPr>
                  </w:pPr>
                  <w:r w:rsidRPr="00094E55">
                    <w:rPr>
                      <w:rFonts w:ascii="Bradley Hand ITC" w:hAnsi="Bradley Hand ITC"/>
                      <w:b/>
                      <w:color w:val="002060"/>
                      <w:sz w:val="24"/>
                      <w:szCs w:val="24"/>
                    </w:rPr>
                    <w:t>ELABORAR RELATÓRIOS DETALHADOS, no mínimo, TRIMESTRALMENTE, sobre os riscos</w:t>
                  </w:r>
                  <w:r>
                    <w:rPr>
                      <w:rFonts w:ascii="Bradley Hand ITC" w:hAnsi="Bradley Hand ITC"/>
                      <w:b/>
                      <w:color w:val="002060"/>
                      <w:sz w:val="24"/>
                      <w:szCs w:val="24"/>
                    </w:rPr>
                    <w:t>, conforme portaria nº 440/2013</w:t>
                  </w:r>
                  <w:r w:rsidRPr="00094E55">
                    <w:rPr>
                      <w:rFonts w:ascii="Bradley Hand ITC" w:hAnsi="Bradley Hand ITC"/>
                      <w:b/>
                      <w:color w:val="002060"/>
                      <w:sz w:val="24"/>
                      <w:szCs w:val="24"/>
                    </w:rPr>
                    <w:t>...</w:t>
                  </w:r>
                </w:p>
              </w:txbxContent>
            </v:textbox>
            <w10:wrap type="square"/>
          </v:shape>
        </w:pict>
      </w:r>
      <w:r>
        <w:rPr>
          <w:rFonts w:ascii="Tahoma" w:hAnsi="Tahoma" w:cs="Tahoma"/>
          <w:noProof/>
          <w:sz w:val="20"/>
        </w:rPr>
        <w:pict>
          <v:shape id="Text Box 2" o:spid="_x0000_s1029" type="#_x0000_t202" style="position:absolute;left:0;text-align:left;margin-left:-93.9pt;margin-top:46.25pt;width:237pt;height:215.5pt;z-index:251657215;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" filled="f" stroked="f" strokecolor="#1f497d [3215]" strokeweight="1.25pt">
            <v:stroke dashstyle="dash"/>
            <v:textbox>
              <w:txbxContent>
                <w:p w:rsidR="009A5912" w:rsidRPr="00C35223" w:rsidRDefault="009A5912" w:rsidP="00C35223">
                  <w:pPr>
                    <w:rPr>
                      <w:szCs w:val="20"/>
                    </w:rPr>
                  </w:pPr>
                </w:p>
              </w:txbxContent>
            </v:textbox>
            <w10:wrap type="square"/>
          </v:shape>
        </w:pict>
      </w:r>
      <w:r>
        <w:rPr>
          <w:rFonts w:ascii="Tahoma" w:hAnsi="Tahoma" w:cs="Tahoma"/>
          <w:noProof/>
          <w:sz w:val="20"/>
        </w:rPr>
        <w:pict>
          <v:shape id="AutoShape 9" o:spid="_x0000_s1041" type="#_x0000_t32" style="position:absolute;left:0;text-align:left;margin-left:133.35pt;margin-top:53.9pt;width:0;height:201.55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" strokecolor="#1f497d [3215]" strokeweight=".25pt">
            <v:stroke dashstyle="dash" endarrow="block"/>
          </v:shape>
        </w:pict>
      </w:r>
      <w:r>
        <w:rPr>
          <w:rFonts w:ascii="Tahoma" w:hAnsi="Tahoma" w:cs="Tahoma"/>
          <w:noProof/>
          <w:sz w:val="20"/>
        </w:rPr>
        <w:pict>
          <v:shape id="Text Box 6" o:spid="_x0000_s1030" type="#_x0000_t202" style="position:absolute;left:0;text-align:left;margin-left:-82.8pt;margin-top:54.65pt;width:185.25pt;height:58.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8LE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" filled="f" stroked="f">
            <v:textbox>
              <w:txbxContent>
                <w:p w:rsidR="009A5912" w:rsidRPr="00EC25E7" w:rsidRDefault="009A5912" w:rsidP="00CC0E8C">
                  <w:pPr>
                    <w:spacing w:after="0" w:line="240" w:lineRule="auto"/>
                    <w:rPr>
                      <w:rFonts w:ascii="Tahoma" w:hAnsi="Tahoma" w:cs="Tahoma"/>
                      <w:b/>
                      <w:color w:val="BFBFBF" w:themeColor="background1" w:themeShade="BF"/>
                      <w:sz w:val="8"/>
                      <w:szCs w:val="8"/>
                    </w:rPr>
                  </w:pPr>
                </w:p>
                <w:p w:rsidR="009A5912" w:rsidRPr="00EC25E7" w:rsidRDefault="009A5912" w:rsidP="00CC0E8C">
                  <w:pPr>
                    <w:spacing w:after="0" w:line="240" w:lineRule="auto"/>
                    <w:rPr>
                      <w:rFonts w:ascii="Tahoma" w:hAnsi="Tahoma" w:cs="Tahoma"/>
                      <w:color w:val="BFBFBF" w:themeColor="background1" w:themeShade="BF"/>
                      <w:sz w:val="18"/>
                      <w:szCs w:val="18"/>
                    </w:rPr>
                  </w:pPr>
                </w:p>
              </w:txbxContent>
            </v:textbox>
            <w10:wrap type="square"/>
          </v:shape>
        </w:pict>
      </w:r>
      <w:r w:rsidR="004317A1" w:rsidRPr="00E8601E">
        <w:rPr>
          <w:rFonts w:ascii="Tahoma" w:hAnsi="Tahoma" w:cs="Tahoma"/>
          <w:sz w:val="20"/>
        </w:rPr>
        <w:t xml:space="preserve">O modelo de gestão dos recursos do regime próprio </w:t>
      </w:r>
      <w:r w:rsidR="001054E9" w:rsidRPr="00344EA0">
        <w:rPr>
          <w:rFonts w:ascii="Tahoma" w:hAnsi="Tahoma" w:cs="Tahoma"/>
          <w:sz w:val="20"/>
        </w:rPr>
        <w:t xml:space="preserve">do </w:t>
      </w:r>
      <w:r w:rsidR="00C27CE8" w:rsidRPr="00344EA0">
        <w:rPr>
          <w:rFonts w:ascii="Tahoma" w:hAnsi="Tahoma" w:cs="Tahoma"/>
          <w:b/>
          <w:sz w:val="20"/>
        </w:rPr>
        <w:t xml:space="preserve">MUNICÍPIO DE </w:t>
      </w:r>
      <w:r w:rsidR="00C27CE8" w:rsidRPr="009A5912">
        <w:rPr>
          <w:rFonts w:ascii="Tahoma" w:hAnsi="Tahoma" w:cs="Tahoma"/>
          <w:b/>
          <w:sz w:val="20"/>
        </w:rPr>
        <w:t>RIO DOS ÍNDIOS</w:t>
      </w:r>
      <w:r w:rsidR="001054E9" w:rsidRPr="00344EA0">
        <w:rPr>
          <w:rFonts w:ascii="Tahoma" w:hAnsi="Tahoma" w:cs="Tahoma"/>
          <w:sz w:val="20"/>
        </w:rPr>
        <w:t xml:space="preserve">é uma opção estratégica dos seus gestores. </w:t>
      </w:r>
      <w:r w:rsidR="00D63B08" w:rsidRPr="00344EA0">
        <w:rPr>
          <w:rFonts w:ascii="Tahoma" w:hAnsi="Tahoma" w:cs="Tahoma"/>
          <w:sz w:val="20"/>
        </w:rPr>
        <w:t>Segundo o art. 15 da Resolução CMN 3.922/2010 e de acordo com as alterações descritas na Resolução 4.604/2017</w:t>
      </w:r>
      <w:r w:rsidR="001054E9" w:rsidRPr="00344EA0">
        <w:rPr>
          <w:rFonts w:ascii="Tahoma" w:hAnsi="Tahoma" w:cs="Tahoma"/>
          <w:sz w:val="20"/>
        </w:rPr>
        <w:t xml:space="preserve">, a gestão das aplicações dos recursos dos regimes próprios de previdência social poderá ser própria, por entidade autorizada e credenciada, ou mista. Neste momento, a opção realizada pelo </w:t>
      </w:r>
      <w:r w:rsidR="0023730B" w:rsidRPr="0023730B">
        <w:rPr>
          <w:rFonts w:ascii="Tahoma" w:hAnsi="Tahoma" w:cs="Tahoma"/>
          <w:b/>
          <w:sz w:val="20"/>
        </w:rPr>
        <w:t>FUNDO DE PREVIDÊNCIA SOCIAL DO SERVIDOR – FPSS DE RIO DOS ÍNDIOS</w:t>
      </w:r>
      <w:r w:rsidR="000E7F7A" w:rsidRPr="00344EA0">
        <w:rPr>
          <w:rFonts w:ascii="Tahoma" w:hAnsi="Tahoma" w:cs="Tahoma"/>
          <w:sz w:val="20"/>
        </w:rPr>
        <w:t>compreendeu o modelo de GESTÃO</w:t>
      </w:r>
      <w:r w:rsidR="00B574D6" w:rsidRPr="00344EA0">
        <w:rPr>
          <w:rFonts w:ascii="Tahoma" w:hAnsi="Tahoma" w:cs="Tahoma"/>
          <w:sz w:val="20"/>
        </w:rPr>
        <w:t>PRÓPRIA</w:t>
      </w:r>
      <w:r w:rsidR="005B1453" w:rsidRPr="00344EA0">
        <w:rPr>
          <w:rFonts w:ascii="Tahoma" w:hAnsi="Tahoma" w:cs="Tahoma"/>
          <w:sz w:val="20"/>
        </w:rPr>
        <w:t xml:space="preserve">, ou seja, </w:t>
      </w:r>
      <w:r w:rsidR="000E7F7A" w:rsidRPr="00344EA0">
        <w:rPr>
          <w:rFonts w:ascii="Tahoma" w:hAnsi="Tahoma" w:cs="Tahoma"/>
          <w:sz w:val="20"/>
        </w:rPr>
        <w:t xml:space="preserve">quando as aplicações são realizadas diretamente pelo órgão ou entidade gestora do regime próprio de previdência social. </w:t>
      </w:r>
    </w:p>
    <w:p w:rsidR="002C782B" w:rsidRPr="00344EA0" w:rsidRDefault="000059E4" w:rsidP="00CD149C">
      <w:pPr>
        <w:spacing w:after="120"/>
        <w:jc w:val="both"/>
        <w:rPr>
          <w:rFonts w:ascii="Tahoma" w:hAnsi="Tahoma" w:cs="Tahoma"/>
          <w:sz w:val="20"/>
        </w:rPr>
      </w:pPr>
      <w:r w:rsidRPr="00344EA0">
        <w:rPr>
          <w:rFonts w:ascii="Tahoma" w:hAnsi="Tahoma" w:cs="Tahoma"/>
          <w:sz w:val="20"/>
        </w:rPr>
        <w:t xml:space="preserve">Conforme </w:t>
      </w:r>
      <w:r w:rsidR="00C85588" w:rsidRPr="00344EA0">
        <w:rPr>
          <w:rFonts w:ascii="Tahoma" w:hAnsi="Tahoma" w:cs="Tahoma"/>
          <w:sz w:val="20"/>
        </w:rPr>
        <w:t>a legislação vigente, o</w:t>
      </w:r>
      <w:r w:rsidR="002C782B" w:rsidRPr="00344EA0">
        <w:rPr>
          <w:rFonts w:ascii="Tahoma" w:hAnsi="Tahoma" w:cs="Tahoma"/>
          <w:sz w:val="20"/>
        </w:rPr>
        <w:t>s regimes próprios de previdência social somente poderão aplicar recursos em carteira administrada ou em cotas de fundo</w:t>
      </w:r>
      <w:r w:rsidR="00F96C9F" w:rsidRPr="00344EA0">
        <w:rPr>
          <w:rFonts w:ascii="Tahoma" w:hAnsi="Tahoma" w:cs="Tahoma"/>
          <w:sz w:val="20"/>
        </w:rPr>
        <w:t>s</w:t>
      </w:r>
      <w:r w:rsidR="002C782B" w:rsidRPr="00344EA0">
        <w:rPr>
          <w:rFonts w:ascii="Tahoma" w:hAnsi="Tahoma" w:cs="Tahoma"/>
          <w:sz w:val="20"/>
        </w:rPr>
        <w:t xml:space="preserve"> de investimento</w:t>
      </w:r>
      <w:r w:rsidR="00F96C9F" w:rsidRPr="00344EA0">
        <w:rPr>
          <w:rFonts w:ascii="Tahoma" w:hAnsi="Tahoma" w:cs="Tahoma"/>
          <w:sz w:val="20"/>
        </w:rPr>
        <w:t>s</w:t>
      </w:r>
      <w:r w:rsidR="00CF2EDE" w:rsidRPr="00344EA0">
        <w:rPr>
          <w:rFonts w:ascii="Tahoma" w:hAnsi="Tahoma" w:cs="Tahoma"/>
          <w:sz w:val="20"/>
        </w:rPr>
        <w:t>. A gestão poderá ser exercida</w:t>
      </w:r>
      <w:r w:rsidR="00CA2EB4" w:rsidRPr="00344EA0">
        <w:rPr>
          <w:rFonts w:ascii="Tahoma" w:hAnsi="Tahoma" w:cs="Tahoma"/>
          <w:sz w:val="20"/>
        </w:rPr>
        <w:t xml:space="preserve"> por instituições</w:t>
      </w:r>
      <w:r w:rsidR="002C782B" w:rsidRPr="00344EA0">
        <w:rPr>
          <w:rFonts w:ascii="Tahoma" w:hAnsi="Tahoma" w:cs="Tahoma"/>
          <w:sz w:val="20"/>
        </w:rPr>
        <w:t xml:space="preserve"> financeira</w:t>
      </w:r>
      <w:r w:rsidR="00007A78" w:rsidRPr="00344EA0">
        <w:rPr>
          <w:rFonts w:ascii="Tahoma" w:hAnsi="Tahoma" w:cs="Tahoma"/>
          <w:sz w:val="20"/>
        </w:rPr>
        <w:t>s</w:t>
      </w:r>
      <w:r w:rsidR="002C782B" w:rsidRPr="00344EA0">
        <w:rPr>
          <w:rFonts w:ascii="Tahoma" w:hAnsi="Tahoma" w:cs="Tahoma"/>
          <w:sz w:val="20"/>
        </w:rPr>
        <w:t>, demais instituições autorizadas a funcionar pelo Banco Central do Brasil</w:t>
      </w:r>
      <w:r w:rsidR="00454F4E" w:rsidRPr="00344EA0">
        <w:rPr>
          <w:rFonts w:ascii="Tahoma" w:hAnsi="Tahoma" w:cs="Tahoma"/>
          <w:sz w:val="20"/>
        </w:rPr>
        <w:t xml:space="preserve"> (</w:t>
      </w:r>
      <w:r w:rsidR="003C000C" w:rsidRPr="00344EA0">
        <w:rPr>
          <w:rFonts w:ascii="Tahoma" w:hAnsi="Tahoma" w:cs="Tahoma"/>
          <w:sz w:val="20"/>
        </w:rPr>
        <w:t>BACEN</w:t>
      </w:r>
      <w:r w:rsidR="00454F4E" w:rsidRPr="00344EA0">
        <w:rPr>
          <w:rFonts w:ascii="Tahoma" w:hAnsi="Tahoma" w:cs="Tahoma"/>
          <w:sz w:val="20"/>
        </w:rPr>
        <w:t>)</w:t>
      </w:r>
      <w:r w:rsidR="002C782B" w:rsidRPr="00344EA0">
        <w:rPr>
          <w:rFonts w:ascii="Tahoma" w:hAnsi="Tahoma" w:cs="Tahoma"/>
          <w:sz w:val="20"/>
        </w:rPr>
        <w:t xml:space="preserve"> ou pessoas jurídicas autorizadas pela Comissão de Valores Mobiliários</w:t>
      </w:r>
      <w:r w:rsidR="009C00C5" w:rsidRPr="00344EA0">
        <w:rPr>
          <w:rFonts w:ascii="Tahoma" w:hAnsi="Tahoma" w:cs="Tahoma"/>
          <w:sz w:val="20"/>
        </w:rPr>
        <w:t xml:space="preserve"> (CVM)</w:t>
      </w:r>
      <w:r w:rsidR="002C782B" w:rsidRPr="00344EA0">
        <w:rPr>
          <w:rFonts w:ascii="Tahoma" w:hAnsi="Tahoma" w:cs="Tahoma"/>
          <w:sz w:val="20"/>
        </w:rPr>
        <w:t xml:space="preserve"> para o exercício profissional de administração de carteira considerada, pelos responsáveis pela gestão de recursos do regime próprio de previdência social, com base, dentre outros critérios, em funcionamento no País, como: de baixo risco de crédito; ou de boa qualidade de gestão e de ambiente de controle de investimento</w:t>
      </w:r>
      <w:r w:rsidR="00CA2EB4" w:rsidRPr="00344EA0">
        <w:rPr>
          <w:rFonts w:ascii="Tahoma" w:hAnsi="Tahoma" w:cs="Tahoma"/>
          <w:sz w:val="20"/>
        </w:rPr>
        <w:t>s</w:t>
      </w:r>
      <w:r w:rsidR="002C782B" w:rsidRPr="00344EA0">
        <w:rPr>
          <w:rFonts w:ascii="Tahoma" w:hAnsi="Tahoma" w:cs="Tahoma"/>
          <w:sz w:val="20"/>
        </w:rPr>
        <w:t>.</w:t>
      </w:r>
    </w:p>
    <w:p w:rsidR="002C782B" w:rsidRPr="00344EA0" w:rsidRDefault="0075327B" w:rsidP="00CD149C">
      <w:pPr>
        <w:spacing w:after="120"/>
        <w:jc w:val="both"/>
        <w:rPr>
          <w:rFonts w:ascii="Tahoma" w:hAnsi="Tahoma" w:cs="Tahoma"/>
          <w:sz w:val="20"/>
        </w:rPr>
      </w:pPr>
      <w:r w:rsidRPr="00344EA0">
        <w:rPr>
          <w:rFonts w:ascii="Tahoma" w:hAnsi="Tahoma" w:cs="Tahoma"/>
          <w:sz w:val="20"/>
        </w:rPr>
        <w:t xml:space="preserve">No processo de gestão, destaca-se alguns cuidados importantes. </w:t>
      </w:r>
      <w:r w:rsidR="002C782B" w:rsidRPr="00344EA0">
        <w:rPr>
          <w:rFonts w:ascii="Tahoma" w:hAnsi="Tahoma" w:cs="Tahoma"/>
          <w:sz w:val="20"/>
        </w:rPr>
        <w:t>Na aplicação dos recursos em títulos e valores mobiliários, o responsável pela gestão, além da consulta à instituição financeira, à instituição autorizada a funcionar pelo Banco Central do Brasil ou às pessoas jurídicas autorizadas pela Comissão de Valores Mobiliários para o exercício profissional de administração de carteira, deverá observar as informações divulgadas, diariamente, por entidades reconhecidamente idôneas pela sua transparência e elevado padrão técnico na difusão de preços e taxas dos títulos, para fins de utilização como referência em negociações no mercado financeiro, antes do efetivo fechamento da operação.</w:t>
      </w:r>
    </w:p>
    <w:p w:rsidR="00D77F85" w:rsidRPr="00E8601E" w:rsidRDefault="004F1207" w:rsidP="00CD149C">
      <w:pPr>
        <w:spacing w:after="120"/>
        <w:jc w:val="both"/>
        <w:rPr>
          <w:rFonts w:ascii="Tahoma" w:hAnsi="Tahoma" w:cs="Tahoma"/>
          <w:sz w:val="20"/>
        </w:rPr>
      </w:pPr>
      <w:r w:rsidRPr="00344EA0">
        <w:rPr>
          <w:rFonts w:ascii="Tahoma" w:hAnsi="Tahoma" w:cs="Tahoma"/>
          <w:sz w:val="20"/>
        </w:rPr>
        <w:t xml:space="preserve">O </w:t>
      </w:r>
      <w:r w:rsidR="0023730B" w:rsidRPr="0023730B">
        <w:rPr>
          <w:rFonts w:ascii="Tahoma" w:hAnsi="Tahoma" w:cs="Tahoma"/>
          <w:b/>
          <w:sz w:val="20"/>
        </w:rPr>
        <w:t>FUNDO DE PREVIDÊNCIA SOCIAL DO SERVIDOR – FPSS DE RIO DOS ÍNDIOS</w:t>
      </w:r>
      <w:r w:rsidRPr="00344EA0">
        <w:rPr>
          <w:rFonts w:ascii="Tahoma" w:hAnsi="Tahoma" w:cs="Tahoma"/>
          <w:sz w:val="20"/>
        </w:rPr>
        <w:t xml:space="preserve">deverá observar </w:t>
      </w:r>
      <w:r w:rsidR="00A5752F" w:rsidRPr="00344EA0">
        <w:rPr>
          <w:rFonts w:ascii="Tahoma" w:hAnsi="Tahoma" w:cs="Tahoma"/>
          <w:sz w:val="20"/>
        </w:rPr>
        <w:t>as obrigatoriedades da PORTARIA Nº 440, DE 9 DE OUTUBRO DE 2013</w:t>
      </w:r>
      <w:r w:rsidR="00A5604A" w:rsidRPr="00344EA0">
        <w:rPr>
          <w:rFonts w:ascii="Tahoma" w:hAnsi="Tahoma" w:cs="Tahoma"/>
          <w:sz w:val="20"/>
        </w:rPr>
        <w:t>,</w:t>
      </w:r>
      <w:r w:rsidR="00CB24A0" w:rsidRPr="00344EA0">
        <w:rPr>
          <w:rFonts w:ascii="Tahoma" w:hAnsi="Tahoma" w:cs="Tahoma"/>
          <w:sz w:val="20"/>
        </w:rPr>
        <w:t xml:space="preserve"> queAltera a Portaria </w:t>
      </w:r>
      <w:r w:rsidR="00007A78" w:rsidRPr="00344EA0">
        <w:rPr>
          <w:rFonts w:ascii="Tahoma" w:hAnsi="Tahoma" w:cs="Tahoma"/>
          <w:sz w:val="20"/>
        </w:rPr>
        <w:t xml:space="preserve">MPS/GM nº 519 de 24 de </w:t>
      </w:r>
      <w:r w:rsidR="0029090D" w:rsidRPr="00344EA0">
        <w:rPr>
          <w:rFonts w:ascii="Tahoma" w:hAnsi="Tahoma" w:cs="Tahoma"/>
          <w:sz w:val="20"/>
        </w:rPr>
        <w:t>agosto</w:t>
      </w:r>
      <w:r w:rsidR="00CB24A0" w:rsidRPr="00344EA0">
        <w:rPr>
          <w:rFonts w:ascii="Tahoma" w:hAnsi="Tahoma" w:cs="Tahoma"/>
          <w:sz w:val="20"/>
        </w:rPr>
        <w:t xml:space="preserve"> de 2011</w:t>
      </w:r>
      <w:r w:rsidR="00A5604A" w:rsidRPr="00344EA0">
        <w:rPr>
          <w:rFonts w:ascii="Tahoma" w:hAnsi="Tahoma" w:cs="Tahoma"/>
          <w:sz w:val="20"/>
        </w:rPr>
        <w:t>,</w:t>
      </w:r>
      <w:r w:rsidR="00456C5A" w:rsidRPr="00344EA0">
        <w:rPr>
          <w:rFonts w:ascii="Tahoma" w:hAnsi="Tahoma" w:cs="Tahoma"/>
          <w:sz w:val="20"/>
        </w:rPr>
        <w:t xml:space="preserve"> e portaria nº 300/2015</w:t>
      </w:r>
      <w:r w:rsidRPr="00344EA0">
        <w:rPr>
          <w:rFonts w:ascii="Tahoma" w:hAnsi="Tahoma" w:cs="Tahoma"/>
          <w:sz w:val="20"/>
        </w:rPr>
        <w:t xml:space="preserve">na gestão dos </w:t>
      </w:r>
      <w:r w:rsidR="00592455" w:rsidRPr="00344EA0">
        <w:rPr>
          <w:rFonts w:ascii="Tahoma" w:hAnsi="Tahoma" w:cs="Tahoma"/>
          <w:sz w:val="20"/>
        </w:rPr>
        <w:t>recursos,</w:t>
      </w:r>
      <w:r w:rsidR="00A5752F" w:rsidRPr="00344EA0">
        <w:rPr>
          <w:rFonts w:ascii="Tahoma" w:hAnsi="Tahoma" w:cs="Tahoma"/>
          <w:sz w:val="20"/>
        </w:rPr>
        <w:t xml:space="preserve"> destacando a </w:t>
      </w:r>
      <w:r w:rsidRPr="00344EA0">
        <w:rPr>
          <w:rFonts w:ascii="Tahoma" w:hAnsi="Tahoma" w:cs="Tahoma"/>
          <w:sz w:val="20"/>
        </w:rPr>
        <w:t>OBRIGAÇÃO de realizar AVALIAÇÃO DO DESEMPENHO DAS APLICAÇÕES</w:t>
      </w:r>
      <w:r w:rsidR="0075327B" w:rsidRPr="00344EA0">
        <w:rPr>
          <w:rFonts w:ascii="Tahoma" w:hAnsi="Tahoma" w:cs="Tahoma"/>
          <w:sz w:val="20"/>
        </w:rPr>
        <w:t>.No caso de</w:t>
      </w:r>
      <w:r w:rsidRPr="00344EA0">
        <w:rPr>
          <w:rFonts w:ascii="Tahoma" w:hAnsi="Tahoma" w:cs="Tahoma"/>
          <w:sz w:val="20"/>
        </w:rPr>
        <w:t xml:space="preserve"> entidade autorizada e credenciada, no mínimo semestralmente, adotando, de imediato, medidas cabíveis </w:t>
      </w:r>
      <w:r w:rsidR="0075327B" w:rsidRPr="00344EA0">
        <w:rPr>
          <w:rFonts w:ascii="Tahoma" w:hAnsi="Tahoma" w:cs="Tahoma"/>
          <w:sz w:val="20"/>
        </w:rPr>
        <w:t>diante</w:t>
      </w:r>
      <w:r w:rsidRPr="00344EA0">
        <w:rPr>
          <w:rFonts w:ascii="Tahoma" w:hAnsi="Tahoma" w:cs="Tahoma"/>
          <w:sz w:val="20"/>
        </w:rPr>
        <w:t xml:space="preserve"> da constatação de </w:t>
      </w:r>
      <w:r w:rsidRPr="00344EA0">
        <w:rPr>
          <w:rFonts w:ascii="Tahoma" w:hAnsi="Tahoma" w:cs="Tahoma"/>
          <w:i/>
          <w:sz w:val="20"/>
        </w:rPr>
        <w:t>performance</w:t>
      </w:r>
      <w:r w:rsidRPr="00344EA0">
        <w:rPr>
          <w:rFonts w:ascii="Tahoma" w:hAnsi="Tahoma" w:cs="Tahoma"/>
          <w:sz w:val="20"/>
        </w:rPr>
        <w:t xml:space="preserve"> insatisfatória, bem como </w:t>
      </w:r>
      <w:r w:rsidR="0075327B" w:rsidRPr="00344EA0">
        <w:rPr>
          <w:rFonts w:ascii="Tahoma" w:hAnsi="Tahoma" w:cs="Tahoma"/>
          <w:sz w:val="20"/>
        </w:rPr>
        <w:t>ELABORAR RELATÓRIOS DETALHADOS</w:t>
      </w:r>
      <w:r w:rsidRPr="00344EA0">
        <w:rPr>
          <w:rFonts w:ascii="Tahoma" w:hAnsi="Tahoma" w:cs="Tahoma"/>
          <w:sz w:val="20"/>
        </w:rPr>
        <w:t xml:space="preserve">, no mínimo, </w:t>
      </w:r>
      <w:r w:rsidR="0075327B" w:rsidRPr="00344EA0">
        <w:rPr>
          <w:rFonts w:ascii="Tahoma" w:hAnsi="Tahoma" w:cs="Tahoma"/>
          <w:sz w:val="20"/>
        </w:rPr>
        <w:t>TRIMESTRALMENTE</w:t>
      </w:r>
      <w:r w:rsidRPr="00344EA0">
        <w:rPr>
          <w:rFonts w:ascii="Tahoma" w:hAnsi="Tahoma" w:cs="Tahoma"/>
          <w:sz w:val="20"/>
        </w:rPr>
        <w:t>, sobre a rentabilidade, os riscos das diversas modalidades de operações realizadas nas aplicações dos recursos do RPPS e a aderência à política anual de investimentos e suas</w:t>
      </w:r>
      <w:r w:rsidRPr="00E8601E">
        <w:rPr>
          <w:rFonts w:ascii="Tahoma" w:hAnsi="Tahoma" w:cs="Tahoma"/>
          <w:sz w:val="20"/>
        </w:rPr>
        <w:t xml:space="preserve"> revisões e submetê-los às instâncias superiores de deliberação e controle</w:t>
      </w:r>
      <w:r w:rsidR="0075327B" w:rsidRPr="00E8601E">
        <w:rPr>
          <w:rFonts w:ascii="Tahoma" w:hAnsi="Tahoma" w:cs="Tahoma"/>
          <w:sz w:val="20"/>
        </w:rPr>
        <w:t xml:space="preserve">,conforme a </w:t>
      </w:r>
      <w:r w:rsidRPr="00E8601E">
        <w:rPr>
          <w:rFonts w:ascii="Tahoma" w:hAnsi="Tahoma" w:cs="Tahoma"/>
          <w:sz w:val="20"/>
        </w:rPr>
        <w:t xml:space="preserve">Portaria MPS </w:t>
      </w:r>
      <w:r w:rsidR="00A5752F" w:rsidRPr="00E8601E">
        <w:rPr>
          <w:rFonts w:ascii="Tahoma" w:hAnsi="Tahoma" w:cs="Tahoma"/>
          <w:sz w:val="20"/>
        </w:rPr>
        <w:t>440/2013</w:t>
      </w:r>
      <w:r w:rsidRPr="00E8601E">
        <w:rPr>
          <w:rFonts w:ascii="Tahoma" w:hAnsi="Tahoma" w:cs="Tahoma"/>
          <w:sz w:val="20"/>
        </w:rPr>
        <w:t>.</w:t>
      </w:r>
      <w:r w:rsidR="00B91AA7">
        <w:rPr>
          <w:rFonts w:ascii="Tahoma" w:hAnsi="Tahoma" w:cs="Tahoma"/>
          <w:sz w:val="20"/>
        </w:rPr>
        <w:t>Devendo, também, serem observados</w:t>
      </w:r>
      <w:r w:rsidR="00F30DA3">
        <w:rPr>
          <w:rFonts w:ascii="Tahoma" w:hAnsi="Tahoma" w:cs="Tahoma"/>
          <w:sz w:val="20"/>
        </w:rPr>
        <w:t xml:space="preserve"> os </w:t>
      </w:r>
      <w:r w:rsidR="00F30DA3">
        <w:rPr>
          <w:rFonts w:ascii="Tahoma" w:hAnsi="Tahoma" w:cs="Tahoma"/>
          <w:sz w:val="20"/>
        </w:rPr>
        <w:lastRenderedPageBreak/>
        <w:t>novos prazos estipulados pela MF nº 01</w:t>
      </w:r>
      <w:r w:rsidR="000A5602">
        <w:rPr>
          <w:rFonts w:ascii="Tahoma" w:hAnsi="Tahoma" w:cs="Tahoma"/>
          <w:sz w:val="20"/>
        </w:rPr>
        <w:t xml:space="preserve"> de 03 de janeiro de 2017 que di</w:t>
      </w:r>
      <w:r w:rsidR="00F30DA3">
        <w:rPr>
          <w:rFonts w:ascii="Tahoma" w:hAnsi="Tahoma" w:cs="Tahoma"/>
          <w:sz w:val="20"/>
        </w:rPr>
        <w:t>spõe sobre DAIR, DPIN, Credenciamento, pró-gestão, DRAA e DIPR.</w:t>
      </w:r>
    </w:p>
    <w:p w:rsidR="00346F49" w:rsidRPr="00E8601E" w:rsidRDefault="0075327B" w:rsidP="00310447">
      <w:pPr>
        <w:pStyle w:val="Subttulo"/>
        <w:rPr>
          <w:sz w:val="20"/>
        </w:rPr>
      </w:pPr>
      <w:bookmarkStart w:id="27" w:name="_Toc436036984"/>
      <w:bookmarkStart w:id="28" w:name="_Toc496874704"/>
      <w:r w:rsidRPr="00E8601E">
        <w:rPr>
          <w:sz w:val="20"/>
        </w:rPr>
        <w:t>Dos Serviços Especializados</w:t>
      </w:r>
      <w:bookmarkEnd w:id="27"/>
      <w:bookmarkEnd w:id="28"/>
    </w:p>
    <w:p w:rsidR="003D61D1" w:rsidRPr="00E8601E" w:rsidRDefault="003D61D1" w:rsidP="00CD149C">
      <w:pPr>
        <w:spacing w:after="120"/>
        <w:jc w:val="both"/>
        <w:rPr>
          <w:rFonts w:ascii="Tahoma" w:hAnsi="Tahoma" w:cs="Tahoma"/>
          <w:sz w:val="20"/>
        </w:rPr>
      </w:pPr>
      <w:r w:rsidRPr="00E8601E">
        <w:rPr>
          <w:rFonts w:ascii="Tahoma" w:hAnsi="Tahoma" w:cs="Tahoma"/>
          <w:sz w:val="20"/>
        </w:rPr>
        <w:t xml:space="preserve">A contratação dos serviços de consultoria </w:t>
      </w:r>
      <w:r w:rsidR="001A3185" w:rsidRPr="00E8601E">
        <w:rPr>
          <w:rFonts w:ascii="Tahoma" w:hAnsi="Tahoma" w:cs="Tahoma"/>
          <w:sz w:val="20"/>
        </w:rPr>
        <w:t xml:space="preserve">de valores mobiliários </w:t>
      </w:r>
      <w:r w:rsidRPr="00E8601E">
        <w:rPr>
          <w:rFonts w:ascii="Tahoma" w:hAnsi="Tahoma" w:cs="Tahoma"/>
          <w:sz w:val="20"/>
        </w:rPr>
        <w:t xml:space="preserve">deverá levar em consideração </w:t>
      </w:r>
      <w:r w:rsidR="001A3185" w:rsidRPr="00E8601E">
        <w:rPr>
          <w:rFonts w:ascii="Tahoma" w:hAnsi="Tahoma" w:cs="Tahoma"/>
          <w:sz w:val="20"/>
        </w:rPr>
        <w:t xml:space="preserve">critérios </w:t>
      </w:r>
      <w:r w:rsidR="003152B5" w:rsidRPr="00E8601E">
        <w:rPr>
          <w:rFonts w:ascii="Tahoma" w:hAnsi="Tahoma" w:cs="Tahoma"/>
          <w:sz w:val="20"/>
        </w:rPr>
        <w:t>pré-definidos</w:t>
      </w:r>
      <w:r w:rsidR="001A3185" w:rsidRPr="00E8601E">
        <w:rPr>
          <w:rFonts w:ascii="Tahoma" w:hAnsi="Tahoma" w:cs="Tahoma"/>
          <w:sz w:val="20"/>
        </w:rPr>
        <w:t>. Sublinha</w:t>
      </w:r>
      <w:r w:rsidR="00007A78" w:rsidRPr="00E8601E">
        <w:rPr>
          <w:rFonts w:ascii="Tahoma" w:hAnsi="Tahoma" w:cs="Tahoma"/>
          <w:sz w:val="20"/>
        </w:rPr>
        <w:t>m</w:t>
      </w:r>
      <w:r w:rsidR="001A3185" w:rsidRPr="00E8601E">
        <w:rPr>
          <w:rFonts w:ascii="Tahoma" w:hAnsi="Tahoma" w:cs="Tahoma"/>
          <w:sz w:val="20"/>
        </w:rPr>
        <w:t>-se aspectos</w:t>
      </w:r>
      <w:r w:rsidRPr="00E8601E">
        <w:rPr>
          <w:rFonts w:ascii="Tahoma" w:hAnsi="Tahoma" w:cs="Tahoma"/>
          <w:sz w:val="20"/>
        </w:rPr>
        <w:t xml:space="preserve"> como: a experiência, especialização e idoneidade da empresa, bem como o custo e a qualidade da prestação de serviços e, a</w:t>
      </w:r>
      <w:r w:rsidR="001A3185" w:rsidRPr="00E8601E">
        <w:rPr>
          <w:rFonts w:ascii="Tahoma" w:hAnsi="Tahoma" w:cs="Tahoma"/>
          <w:sz w:val="20"/>
        </w:rPr>
        <w:t xml:space="preserve">inda, de acordo com o </w:t>
      </w:r>
      <w:r w:rsidR="00D27FD0" w:rsidRPr="00E8601E">
        <w:rPr>
          <w:rFonts w:ascii="Tahoma" w:hAnsi="Tahoma" w:cs="Tahoma"/>
          <w:sz w:val="20"/>
        </w:rPr>
        <w:t xml:space="preserve">art. 18 da Resolução </w:t>
      </w:r>
      <w:r w:rsidR="00D27FD0" w:rsidRPr="00AA19B0">
        <w:rPr>
          <w:rFonts w:ascii="Tahoma" w:hAnsi="Tahoma" w:cs="Tahoma"/>
          <w:sz w:val="20"/>
        </w:rPr>
        <w:t>3.922/2010 e com as alterações descritas na resolução 4.604/2017</w:t>
      </w:r>
      <w:r w:rsidRPr="00E8601E">
        <w:rPr>
          <w:rFonts w:ascii="Tahoma" w:hAnsi="Tahoma" w:cs="Tahoma"/>
          <w:sz w:val="20"/>
        </w:rPr>
        <w:t>, estar devidamente habilitada na CVM como Consultora de Valores Mobiliários. É de fundamental importância que a empresa habilitada na CVM como Consultora de Valores Mobiliários não seja ao mesmo tempo também cadastrada na CVM como Prestador</w:t>
      </w:r>
      <w:r w:rsidR="001A3185" w:rsidRPr="00E8601E">
        <w:rPr>
          <w:rFonts w:ascii="Tahoma" w:hAnsi="Tahoma" w:cs="Tahoma"/>
          <w:sz w:val="20"/>
        </w:rPr>
        <w:t>a</w:t>
      </w:r>
      <w:r w:rsidRPr="00E8601E">
        <w:rPr>
          <w:rFonts w:ascii="Tahoma" w:hAnsi="Tahoma" w:cs="Tahoma"/>
          <w:sz w:val="20"/>
        </w:rPr>
        <w:t xml:space="preserve"> de Serviços de Administração de Carteiras e nem como </w:t>
      </w:r>
      <w:r w:rsidR="00FD6D47" w:rsidRPr="00E8601E">
        <w:rPr>
          <w:rFonts w:ascii="Tahoma" w:hAnsi="Tahoma" w:cs="Tahoma"/>
          <w:sz w:val="20"/>
        </w:rPr>
        <w:t>Agente Autônomo – Pessoa Jurídica.</w:t>
      </w:r>
    </w:p>
    <w:p w:rsidR="00D27FD0" w:rsidRPr="00E8601E" w:rsidRDefault="002D28D8" w:rsidP="00D27FD0">
      <w:pPr>
        <w:spacing w:after="120"/>
        <w:jc w:val="both"/>
        <w:rPr>
          <w:rFonts w:ascii="Tahoma" w:hAnsi="Tahoma" w:cs="Tahoma"/>
          <w:sz w:val="20"/>
        </w:rPr>
      </w:pPr>
      <w:r w:rsidRPr="00E8601E">
        <w:rPr>
          <w:rFonts w:ascii="Tahoma" w:hAnsi="Tahoma" w:cs="Tahoma"/>
          <w:sz w:val="20"/>
        </w:rPr>
        <w:t xml:space="preserve">As pessoas naturais contratadas pelas pessoas jurídicas que desempenham atividade de avaliação de investimento em valores mobiliários, em caráter profissional, com a finalidade de produzir recomendações, relatórios de acompanhamento e estudos, que auxiliem no processo de </w:t>
      </w:r>
      <w:r w:rsidR="00007A78" w:rsidRPr="00E8601E">
        <w:rPr>
          <w:rFonts w:ascii="Tahoma" w:hAnsi="Tahoma" w:cs="Tahoma"/>
          <w:sz w:val="20"/>
        </w:rPr>
        <w:t>tomada de decisões</w:t>
      </w:r>
      <w:r w:rsidRPr="00E8601E">
        <w:rPr>
          <w:rFonts w:ascii="Tahoma" w:hAnsi="Tahoma" w:cs="Tahoma"/>
          <w:sz w:val="20"/>
        </w:rPr>
        <w:t xml:space="preserve"> de investimento</w:t>
      </w:r>
      <w:r w:rsidR="00007A78" w:rsidRPr="00E8601E">
        <w:rPr>
          <w:rFonts w:ascii="Tahoma" w:hAnsi="Tahoma" w:cs="Tahoma"/>
          <w:sz w:val="20"/>
        </w:rPr>
        <w:t>s</w:t>
      </w:r>
      <w:r w:rsidRPr="00E8601E">
        <w:rPr>
          <w:rFonts w:ascii="Tahoma" w:hAnsi="Tahoma" w:cs="Tahoma"/>
          <w:sz w:val="20"/>
        </w:rPr>
        <w:t xml:space="preserve"> deverão estar registradas na Comissão de Valores Mobiliários</w:t>
      </w:r>
      <w:r w:rsidR="001A3185" w:rsidRPr="00E8601E">
        <w:rPr>
          <w:rFonts w:ascii="Tahoma" w:hAnsi="Tahoma" w:cs="Tahoma"/>
          <w:sz w:val="20"/>
        </w:rPr>
        <w:t>, nos termos da</w:t>
      </w:r>
      <w:r w:rsidR="00D27FD0">
        <w:rPr>
          <w:rFonts w:ascii="Tahoma" w:hAnsi="Tahoma" w:cs="Tahoma"/>
          <w:sz w:val="20"/>
        </w:rPr>
        <w:t xml:space="preserve"> Resolução</w:t>
      </w:r>
      <w:bookmarkStart w:id="29" w:name="_Toc341970895"/>
      <w:r w:rsidR="00D27FD0" w:rsidRPr="00AA19B0">
        <w:rPr>
          <w:rFonts w:ascii="Tahoma" w:hAnsi="Tahoma" w:cs="Tahoma"/>
          <w:sz w:val="20"/>
        </w:rPr>
        <w:t>CMN 3.922/2010 e com as alterações descritas na resolução 4.604/2017</w:t>
      </w:r>
      <w:r w:rsidR="00D27FD0" w:rsidRPr="00E8601E">
        <w:rPr>
          <w:rFonts w:ascii="Tahoma" w:hAnsi="Tahoma" w:cs="Tahoma"/>
          <w:sz w:val="20"/>
        </w:rPr>
        <w:t xml:space="preserve"> e da legislação vigente.</w:t>
      </w:r>
    </w:p>
    <w:p w:rsidR="00251F7D" w:rsidRPr="00E8601E" w:rsidRDefault="00251F7D" w:rsidP="00D27FD0">
      <w:pPr>
        <w:spacing w:after="120"/>
        <w:jc w:val="both"/>
        <w:rPr>
          <w:rStyle w:val="Ttulo1Char"/>
          <w:sz w:val="22"/>
        </w:rPr>
      </w:pPr>
      <w:r w:rsidRPr="00E8601E">
        <w:rPr>
          <w:rStyle w:val="Ttulo1Char"/>
          <w:sz w:val="22"/>
        </w:rPr>
        <w:br w:type="page"/>
      </w:r>
    </w:p>
    <w:p w:rsidR="00715F3A" w:rsidRPr="00E8601E" w:rsidRDefault="00715F3A" w:rsidP="00F71F37">
      <w:pPr>
        <w:spacing w:after="120"/>
        <w:jc w:val="both"/>
        <w:outlineLvl w:val="0"/>
        <w:rPr>
          <w:sz w:val="20"/>
        </w:rPr>
      </w:pPr>
      <w:bookmarkStart w:id="30" w:name="_Toc436036985"/>
      <w:bookmarkStart w:id="31" w:name="_Toc496874705"/>
      <w:r w:rsidRPr="00E8601E">
        <w:rPr>
          <w:rStyle w:val="Ttulo1Char"/>
          <w:sz w:val="22"/>
        </w:rPr>
        <w:lastRenderedPageBreak/>
        <w:t>ASPECTOS LEGAIS</w:t>
      </w:r>
      <w:bookmarkEnd w:id="29"/>
      <w:r w:rsidR="00892766" w:rsidRPr="00E8601E">
        <w:rPr>
          <w:rStyle w:val="Ttulo1Char"/>
          <w:sz w:val="22"/>
        </w:rPr>
        <w:t xml:space="preserve"> DA RESOLUÇÃO CMN 3.922/2010</w:t>
      </w:r>
      <w:r w:rsidR="00D27FD0">
        <w:rPr>
          <w:rStyle w:val="Ttulo1Char"/>
        </w:rPr>
        <w:t>E</w:t>
      </w:r>
      <w:r w:rsidR="00D27FD0" w:rsidRPr="00786411">
        <w:rPr>
          <w:rStyle w:val="Ttulo1Char"/>
        </w:rPr>
        <w:t xml:space="preserve"> ALTERAÇÕES</w:t>
      </w:r>
      <w:r w:rsidR="00D27FD0">
        <w:rPr>
          <w:rStyle w:val="Ttulo1Char"/>
        </w:rPr>
        <w:t xml:space="preserve"> 4.604/2017</w:t>
      </w:r>
      <w:bookmarkEnd w:id="30"/>
      <w:bookmarkEnd w:id="31"/>
      <w:r w:rsidR="0049303D" w:rsidRPr="00E8601E">
        <w:rPr>
          <w:sz w:val="20"/>
        </w:rPr>
        <w:object w:dxaOrig="3163" w:dyaOrig="3187">
          <v:shape id="_x0000_i1032" type="#_x0000_t75" style="width:23.25pt;height:23.25pt" o:ole="">
            <v:imagedata r:id="rId10" o:title=""/>
          </v:shape>
          <o:OLEObject Type="Embed" ProgID="CorelDRAW.Graphic.13" ShapeID="_x0000_i1032" DrawAspect="Content" ObjectID="_1608620655" r:id="rId17"/>
        </w:object>
      </w:r>
    </w:p>
    <w:p w:rsidR="00715F3A" w:rsidRPr="00E8601E" w:rsidRDefault="00715F3A" w:rsidP="00F71F37">
      <w:pPr>
        <w:spacing w:after="120"/>
        <w:jc w:val="both"/>
        <w:rPr>
          <w:rFonts w:ascii="Tahoma" w:hAnsi="Tahoma" w:cs="Tahoma"/>
          <w:sz w:val="20"/>
        </w:rPr>
      </w:pPr>
    </w:p>
    <w:p w:rsidR="00D27FD0" w:rsidRPr="00CC1B5F" w:rsidRDefault="00D27FD0" w:rsidP="00D27FD0">
      <w:pPr>
        <w:spacing w:after="0"/>
        <w:jc w:val="both"/>
        <w:rPr>
          <w:rFonts w:ascii="Tahoma" w:hAnsi="Tahoma" w:cs="Tahoma"/>
          <w:sz w:val="18"/>
          <w:szCs w:val="18"/>
        </w:rPr>
      </w:pPr>
      <w:r w:rsidRPr="00CC1B5F">
        <w:rPr>
          <w:rFonts w:ascii="Tahoma" w:hAnsi="Tahoma" w:cs="Tahoma"/>
          <w:sz w:val="18"/>
          <w:szCs w:val="18"/>
        </w:rPr>
        <w:t>Resolução CMN 3.922/2010 e com as alterações descritas na resolução 4.604/2017</w:t>
      </w:r>
    </w:p>
    <w:p w:rsidR="00D27FD0" w:rsidRPr="00E8601E" w:rsidRDefault="00D27FD0" w:rsidP="00D27FD0">
      <w:pPr>
        <w:spacing w:after="0"/>
        <w:jc w:val="both"/>
        <w:rPr>
          <w:rFonts w:ascii="Tahoma" w:hAnsi="Tahoma" w:cs="Tahoma"/>
          <w:sz w:val="20"/>
        </w:rPr>
      </w:pPr>
    </w:p>
    <w:p w:rsidR="00D27FD0" w:rsidRPr="00E8601E" w:rsidRDefault="00D27FD0" w:rsidP="00D27FD0">
      <w:pPr>
        <w:spacing w:after="0"/>
        <w:jc w:val="both"/>
        <w:rPr>
          <w:rFonts w:ascii="Tahoma" w:hAnsi="Tahoma" w:cs="Tahoma"/>
          <w:sz w:val="20"/>
        </w:rPr>
      </w:pPr>
      <w:r w:rsidRPr="00E8601E">
        <w:rPr>
          <w:rFonts w:ascii="Tahoma" w:hAnsi="Tahoma" w:cs="Tahoma"/>
          <w:sz w:val="20"/>
        </w:rPr>
        <w:t>Limites percentuais para as aplicações dos RPPS</w:t>
      </w:r>
    </w:p>
    <w:p w:rsidR="00D27FD0" w:rsidRPr="00E8601E" w:rsidRDefault="00D27FD0" w:rsidP="00D27FD0">
      <w:pPr>
        <w:spacing w:after="0"/>
        <w:jc w:val="both"/>
        <w:rPr>
          <w:rFonts w:ascii="Tahoma" w:hAnsi="Tahoma" w:cs="Tahoma"/>
          <w:sz w:val="20"/>
        </w:rPr>
      </w:pPr>
    </w:p>
    <w:p w:rsidR="00D27FD0" w:rsidRPr="00E8601E" w:rsidRDefault="00D27FD0" w:rsidP="00D27FD0">
      <w:pPr>
        <w:spacing w:after="0"/>
        <w:jc w:val="both"/>
        <w:rPr>
          <w:rFonts w:ascii="Tahoma" w:hAnsi="Tahoma" w:cs="Tahoma"/>
          <w:sz w:val="20"/>
        </w:rPr>
      </w:pPr>
      <w:r w:rsidRPr="00E8601E">
        <w:rPr>
          <w:rFonts w:ascii="Tahoma" w:hAnsi="Tahoma" w:cs="Tahoma"/>
          <w:sz w:val="20"/>
        </w:rPr>
        <w:t>Artigo 7º - RENDA FIXA</w:t>
      </w:r>
    </w:p>
    <w:p w:rsidR="00D27FD0" w:rsidRPr="00E8601E" w:rsidRDefault="00D27FD0" w:rsidP="00D27FD0">
      <w:pPr>
        <w:spacing w:after="0"/>
        <w:jc w:val="both"/>
        <w:rPr>
          <w:rFonts w:ascii="Tahoma" w:hAnsi="Tahoma" w:cs="Tahoma"/>
          <w:sz w:val="20"/>
        </w:rPr>
      </w:pPr>
    </w:p>
    <w:p w:rsidR="00D27FD0" w:rsidRPr="00E8601E" w:rsidRDefault="00D27FD0" w:rsidP="00D27FD0">
      <w:pPr>
        <w:spacing w:after="0"/>
        <w:jc w:val="both"/>
        <w:rPr>
          <w:rFonts w:ascii="Tahoma" w:hAnsi="Tahoma" w:cs="Tahoma"/>
          <w:sz w:val="20"/>
        </w:rPr>
      </w:pPr>
      <w:r w:rsidRPr="00E8601E">
        <w:rPr>
          <w:rFonts w:ascii="Tahoma" w:hAnsi="Tahoma" w:cs="Tahoma"/>
          <w:sz w:val="20"/>
        </w:rPr>
        <w:t>INCISO I - Até 100% em:</w:t>
      </w:r>
    </w:p>
    <w:p w:rsidR="00D27FD0" w:rsidRPr="00E8601E" w:rsidRDefault="00D27FD0" w:rsidP="00D27FD0">
      <w:pPr>
        <w:spacing w:after="0"/>
        <w:jc w:val="both"/>
        <w:rPr>
          <w:rFonts w:ascii="Tahoma" w:hAnsi="Tahoma" w:cs="Tahoma"/>
          <w:sz w:val="20"/>
        </w:rPr>
      </w:pPr>
    </w:p>
    <w:p w:rsidR="00D27FD0" w:rsidRPr="00E8601E" w:rsidRDefault="00D27FD0" w:rsidP="00D27FD0">
      <w:pPr>
        <w:spacing w:after="0"/>
        <w:jc w:val="both"/>
        <w:rPr>
          <w:rFonts w:ascii="Tahoma" w:hAnsi="Tahoma" w:cs="Tahoma"/>
          <w:sz w:val="20"/>
        </w:rPr>
      </w:pPr>
      <w:r w:rsidRPr="00E8601E">
        <w:rPr>
          <w:rFonts w:ascii="Tahoma" w:hAnsi="Tahoma" w:cs="Tahoma"/>
          <w:sz w:val="20"/>
        </w:rPr>
        <w:t>a) Títulos públicos federais</w:t>
      </w:r>
      <w:r>
        <w:rPr>
          <w:rFonts w:ascii="Tahoma" w:hAnsi="Tahoma" w:cs="Tahoma"/>
          <w:sz w:val="20"/>
        </w:rPr>
        <w:t>;</w:t>
      </w:r>
    </w:p>
    <w:p w:rsidR="00D27FD0" w:rsidRPr="00E8601E" w:rsidRDefault="00D27FD0" w:rsidP="00D27FD0">
      <w:pPr>
        <w:spacing w:after="0"/>
        <w:jc w:val="both"/>
        <w:rPr>
          <w:rFonts w:ascii="Tahoma" w:hAnsi="Tahoma" w:cs="Tahoma"/>
          <w:sz w:val="20"/>
        </w:rPr>
      </w:pPr>
    </w:p>
    <w:p w:rsidR="00D27FD0" w:rsidRDefault="00D27FD0" w:rsidP="00D27FD0">
      <w:pPr>
        <w:spacing w:after="0"/>
        <w:jc w:val="both"/>
        <w:rPr>
          <w:rFonts w:ascii="Tahoma" w:hAnsi="Tahoma" w:cs="Tahoma"/>
          <w:sz w:val="20"/>
        </w:rPr>
      </w:pPr>
      <w:r w:rsidRPr="00E8601E">
        <w:rPr>
          <w:rFonts w:ascii="Tahoma" w:hAnsi="Tahoma" w:cs="Tahoma"/>
          <w:sz w:val="20"/>
        </w:rPr>
        <w:t xml:space="preserve">b) Fundos compostos por 100% em títulos públicos, indexados ao índice IMA ou algum de seus subíndices (IMA-B, IMA-C, IRF-M, IDKA), com exceção do IMA-S, pois este está atrelado à </w:t>
      </w:r>
      <w:r>
        <w:rPr>
          <w:rFonts w:ascii="Tahoma" w:hAnsi="Tahoma" w:cs="Tahoma"/>
          <w:sz w:val="20"/>
        </w:rPr>
        <w:t>taxa de juros de um dia (SELIC);</w:t>
      </w:r>
    </w:p>
    <w:p w:rsidR="00D27FD0" w:rsidRDefault="00D27FD0" w:rsidP="00D27FD0">
      <w:pPr>
        <w:spacing w:after="0"/>
        <w:jc w:val="both"/>
        <w:rPr>
          <w:rFonts w:ascii="Tahoma" w:hAnsi="Tahoma" w:cs="Tahoma"/>
          <w:sz w:val="20"/>
        </w:rPr>
      </w:pPr>
    </w:p>
    <w:p w:rsidR="00D27FD0" w:rsidRPr="00E8601E" w:rsidRDefault="00D27FD0" w:rsidP="00D27FD0">
      <w:pPr>
        <w:spacing w:after="0"/>
        <w:jc w:val="both"/>
        <w:rPr>
          <w:rFonts w:ascii="Tahoma" w:hAnsi="Tahoma" w:cs="Tahoma"/>
          <w:sz w:val="20"/>
        </w:rPr>
      </w:pPr>
      <w:r>
        <w:rPr>
          <w:rFonts w:ascii="Tahoma" w:hAnsi="Tahoma" w:cs="Tahoma"/>
          <w:sz w:val="20"/>
        </w:rPr>
        <w:t>c) F</w:t>
      </w:r>
      <w:r w:rsidRPr="00A311E9">
        <w:rPr>
          <w:rFonts w:ascii="Tahoma" w:hAnsi="Tahoma" w:cs="Tahoma"/>
          <w:sz w:val="20"/>
        </w:rPr>
        <w:t>undos de investimento em índice de mercado de renda fixa, negociáveis em bolsa de valores, conforme regulamentação estabelecida pela CVM,</w:t>
      </w:r>
      <w:r>
        <w:rPr>
          <w:rFonts w:ascii="Tahoma" w:hAnsi="Tahoma" w:cs="Tahoma"/>
          <w:sz w:val="20"/>
        </w:rPr>
        <w:t xml:space="preserve"> cuja carteira teórica seja composta exclusivamente por títulos públicos.</w:t>
      </w:r>
    </w:p>
    <w:p w:rsidR="00D27FD0" w:rsidRPr="00E8601E" w:rsidRDefault="00D27FD0" w:rsidP="00D27FD0">
      <w:pPr>
        <w:spacing w:after="0"/>
        <w:jc w:val="both"/>
        <w:rPr>
          <w:rFonts w:ascii="Tahoma" w:hAnsi="Tahoma" w:cs="Tahoma"/>
          <w:sz w:val="20"/>
        </w:rPr>
      </w:pPr>
    </w:p>
    <w:p w:rsidR="00D27FD0" w:rsidRPr="00E8601E" w:rsidRDefault="00D27FD0" w:rsidP="00D27FD0">
      <w:pPr>
        <w:spacing w:after="0"/>
        <w:jc w:val="both"/>
        <w:rPr>
          <w:rFonts w:ascii="Tahoma" w:hAnsi="Tahoma" w:cs="Tahoma"/>
          <w:sz w:val="20"/>
        </w:rPr>
      </w:pPr>
      <w:r w:rsidRPr="00290F40">
        <w:rPr>
          <w:rFonts w:ascii="Tahoma" w:hAnsi="Tahoma" w:cs="Tahoma"/>
          <w:sz w:val="20"/>
        </w:rPr>
        <w:t>INCISO II - Até 5 % em operações compromissadas lastreadas em títulos públicos federais.</w:t>
      </w:r>
    </w:p>
    <w:p w:rsidR="00D27FD0" w:rsidRPr="00E8601E" w:rsidRDefault="00D27FD0" w:rsidP="00D27FD0">
      <w:pPr>
        <w:spacing w:after="0"/>
        <w:jc w:val="both"/>
        <w:rPr>
          <w:rFonts w:ascii="Tahoma" w:hAnsi="Tahoma" w:cs="Tahoma"/>
          <w:sz w:val="20"/>
        </w:rPr>
      </w:pPr>
    </w:p>
    <w:p w:rsidR="00D27FD0" w:rsidRDefault="00D27FD0" w:rsidP="00D27FD0">
      <w:pPr>
        <w:spacing w:after="0"/>
        <w:jc w:val="both"/>
        <w:rPr>
          <w:rFonts w:ascii="Tahoma" w:hAnsi="Tahoma" w:cs="Tahoma"/>
          <w:sz w:val="20"/>
        </w:rPr>
      </w:pPr>
      <w:r w:rsidRPr="000B6E48">
        <w:rPr>
          <w:rFonts w:ascii="Tahoma" w:hAnsi="Tahoma" w:cs="Tahoma"/>
          <w:sz w:val="20"/>
        </w:rPr>
        <w:t>INCISO III - Até 60% em:</w:t>
      </w:r>
    </w:p>
    <w:p w:rsidR="00D27FD0" w:rsidRPr="00E8601E" w:rsidRDefault="00D27FD0" w:rsidP="00D27FD0">
      <w:pPr>
        <w:spacing w:after="0"/>
        <w:jc w:val="both"/>
        <w:rPr>
          <w:rFonts w:ascii="Tahoma" w:hAnsi="Tahoma" w:cs="Tahoma"/>
          <w:sz w:val="20"/>
        </w:rPr>
      </w:pPr>
    </w:p>
    <w:p w:rsidR="00D27FD0" w:rsidRDefault="00D27FD0" w:rsidP="00D27FD0">
      <w:pPr>
        <w:spacing w:after="0"/>
        <w:jc w:val="both"/>
        <w:rPr>
          <w:rFonts w:ascii="Tahoma" w:hAnsi="Tahoma" w:cs="Tahoma"/>
          <w:sz w:val="20"/>
        </w:rPr>
      </w:pPr>
      <w:r w:rsidRPr="00E8601E">
        <w:rPr>
          <w:rFonts w:ascii="Tahoma" w:hAnsi="Tahoma" w:cs="Tahoma"/>
          <w:sz w:val="20"/>
        </w:rPr>
        <w:t>a) em fundos de investimentos de Renda Fixa e/ou Referenciados em indicadores de desempenho de renda fixa, constituídos sob a forma de condomínio aberto e cuja política de investimento assume o compromisso de buscar o retorno de um dos subíndices do Índice de Mercado Anbima (IMA) ou do Índice de Duração Constante Anbima (IDkA), com exceção de qualquer subíndice atrelado à taxa de juros de um dia;</w:t>
      </w:r>
      <w:r w:rsidRPr="00E8601E">
        <w:rPr>
          <w:rFonts w:ascii="Tahoma" w:hAnsi="Tahoma" w:cs="Tahoma"/>
          <w:sz w:val="20"/>
        </w:rPr>
        <w:cr/>
      </w:r>
    </w:p>
    <w:p w:rsidR="00D27FD0" w:rsidRPr="00692A93" w:rsidRDefault="00D27FD0" w:rsidP="00D27FD0">
      <w:pPr>
        <w:spacing w:after="0"/>
        <w:jc w:val="both"/>
        <w:rPr>
          <w:rFonts w:ascii="Tahoma" w:hAnsi="Tahoma" w:cs="Tahoma"/>
          <w:sz w:val="20"/>
        </w:rPr>
      </w:pPr>
      <w:r w:rsidRPr="00E8601E">
        <w:rPr>
          <w:rFonts w:ascii="Tahoma" w:hAnsi="Tahoma" w:cs="Tahoma"/>
          <w:sz w:val="20"/>
        </w:rPr>
        <w:t>b) em cotas de Fundos de Índices de Renda Fixa,</w:t>
      </w:r>
      <w:r>
        <w:rPr>
          <w:rFonts w:ascii="Tahoma" w:hAnsi="Tahoma" w:cs="Tahoma"/>
          <w:sz w:val="20"/>
        </w:rPr>
        <w:t>negociáveis em bolsa de valores</w:t>
      </w:r>
      <w:r w:rsidRPr="00E8601E">
        <w:rPr>
          <w:rFonts w:ascii="Tahoma" w:hAnsi="Tahoma" w:cs="Tahoma"/>
          <w:sz w:val="20"/>
        </w:rPr>
        <w:t xml:space="preserve"> cujas carteiras sejam compostas por ativos financeiros que busquem refletir as variações e rentabilidade dos subíndices do IMA ou IDKA.</w:t>
      </w:r>
      <w:r>
        <w:rPr>
          <w:rFonts w:ascii="Tahoma" w:hAnsi="Tahoma" w:cs="Tahoma"/>
          <w:sz w:val="20"/>
        </w:rPr>
        <w:t xml:space="preserve"> Exceto carteiras com títulos atrelados a taxa </w:t>
      </w:r>
      <w:r w:rsidRPr="00692A93">
        <w:rPr>
          <w:rFonts w:ascii="Tahoma" w:hAnsi="Tahoma" w:cs="Tahoma"/>
          <w:sz w:val="20"/>
        </w:rPr>
        <w:t>de juros um dia.</w:t>
      </w:r>
    </w:p>
    <w:p w:rsidR="00D27FD0" w:rsidRPr="00692A93" w:rsidRDefault="00D27FD0" w:rsidP="00D27FD0">
      <w:pPr>
        <w:spacing w:after="0"/>
        <w:jc w:val="both"/>
        <w:rPr>
          <w:rFonts w:ascii="Tahoma" w:hAnsi="Tahoma" w:cs="Tahoma"/>
          <w:sz w:val="20"/>
        </w:rPr>
      </w:pPr>
    </w:p>
    <w:p w:rsidR="00D27FD0" w:rsidRDefault="00D27FD0" w:rsidP="00D27FD0">
      <w:pPr>
        <w:spacing w:after="0"/>
        <w:jc w:val="both"/>
        <w:rPr>
          <w:rFonts w:ascii="Tahoma" w:hAnsi="Tahoma" w:cs="Tahoma"/>
          <w:sz w:val="20"/>
        </w:rPr>
      </w:pPr>
      <w:r w:rsidRPr="00692A93">
        <w:rPr>
          <w:rFonts w:ascii="Tahoma" w:hAnsi="Tahoma" w:cs="Tahoma"/>
          <w:sz w:val="20"/>
        </w:rPr>
        <w:t>INCISO IV - Até 40% em:</w:t>
      </w:r>
    </w:p>
    <w:p w:rsidR="00D27FD0" w:rsidRPr="00E8601E" w:rsidRDefault="00D27FD0" w:rsidP="00D27FD0">
      <w:pPr>
        <w:spacing w:after="0"/>
        <w:jc w:val="both"/>
        <w:rPr>
          <w:rFonts w:ascii="Tahoma" w:hAnsi="Tahoma" w:cs="Tahoma"/>
          <w:sz w:val="20"/>
        </w:rPr>
      </w:pPr>
    </w:p>
    <w:p w:rsidR="00D27FD0" w:rsidRDefault="00D27FD0" w:rsidP="00D27FD0">
      <w:pPr>
        <w:pStyle w:val="PargrafodaLista"/>
        <w:numPr>
          <w:ilvl w:val="0"/>
          <w:numId w:val="5"/>
        </w:numPr>
        <w:spacing w:after="0"/>
        <w:ind w:left="284"/>
        <w:jc w:val="both"/>
        <w:rPr>
          <w:rFonts w:ascii="Tahoma" w:hAnsi="Tahoma" w:cs="Tahoma"/>
          <w:sz w:val="20"/>
        </w:rPr>
      </w:pPr>
      <w:r w:rsidRPr="00E8601E">
        <w:rPr>
          <w:rFonts w:ascii="Tahoma" w:hAnsi="Tahoma" w:cs="Tahoma"/>
          <w:sz w:val="20"/>
        </w:rPr>
        <w:t>Fundos de investimentos de Renda Fixa e/ou Referenciados, atrelados à taxa de juros de um dia (SELIC);</w:t>
      </w:r>
    </w:p>
    <w:p w:rsidR="00D27FD0" w:rsidRPr="00E8601E" w:rsidRDefault="00D27FD0" w:rsidP="00D27FD0">
      <w:pPr>
        <w:pStyle w:val="PargrafodaLista"/>
        <w:spacing w:after="0"/>
        <w:ind w:left="284"/>
        <w:jc w:val="both"/>
        <w:rPr>
          <w:rFonts w:ascii="Tahoma" w:hAnsi="Tahoma" w:cs="Tahoma"/>
          <w:sz w:val="20"/>
        </w:rPr>
      </w:pPr>
    </w:p>
    <w:p w:rsidR="00D27FD0" w:rsidRDefault="00D27FD0" w:rsidP="00D27FD0">
      <w:pPr>
        <w:pStyle w:val="PargrafodaLista"/>
        <w:numPr>
          <w:ilvl w:val="0"/>
          <w:numId w:val="5"/>
        </w:numPr>
        <w:spacing w:after="0"/>
        <w:ind w:left="284"/>
        <w:jc w:val="both"/>
        <w:rPr>
          <w:rFonts w:ascii="Tahoma" w:hAnsi="Tahoma" w:cs="Tahoma"/>
          <w:sz w:val="20"/>
        </w:rPr>
      </w:pPr>
      <w:r w:rsidRPr="00E8601E">
        <w:rPr>
          <w:rFonts w:ascii="Tahoma" w:hAnsi="Tahoma" w:cs="Tahoma"/>
          <w:sz w:val="20"/>
        </w:rPr>
        <w:t>Fundos de índices de Renda Fixa cujas carteiras sejam compostas por ativos financeiros que busquem refletir as variações e rentabil</w:t>
      </w:r>
      <w:r>
        <w:rPr>
          <w:rFonts w:ascii="Tahoma" w:hAnsi="Tahoma" w:cs="Tahoma"/>
          <w:sz w:val="20"/>
        </w:rPr>
        <w:t>idade dos índices de renda fixa, negociáveis em bolsa de valores.</w:t>
      </w:r>
    </w:p>
    <w:p w:rsidR="009911C8" w:rsidRDefault="009911C8" w:rsidP="00D27FD0">
      <w:pPr>
        <w:spacing w:after="0"/>
        <w:jc w:val="both"/>
        <w:rPr>
          <w:rFonts w:ascii="Tahoma" w:hAnsi="Tahoma" w:cs="Tahoma"/>
          <w:sz w:val="20"/>
        </w:rPr>
      </w:pPr>
    </w:p>
    <w:p w:rsidR="00D27FD0" w:rsidRPr="0073286E" w:rsidRDefault="00D27FD0" w:rsidP="00D27FD0">
      <w:pPr>
        <w:spacing w:after="0"/>
        <w:jc w:val="both"/>
        <w:rPr>
          <w:rFonts w:ascii="Tahoma" w:hAnsi="Tahoma" w:cs="Tahoma"/>
          <w:sz w:val="20"/>
        </w:rPr>
      </w:pPr>
      <w:r w:rsidRPr="0073286E">
        <w:rPr>
          <w:rFonts w:ascii="Tahoma" w:hAnsi="Tahoma" w:cs="Tahoma"/>
          <w:sz w:val="20"/>
        </w:rPr>
        <w:lastRenderedPageBreak/>
        <w:t>INCISO V – até 20%</w:t>
      </w:r>
    </w:p>
    <w:p w:rsidR="00D27FD0" w:rsidRPr="0073286E" w:rsidRDefault="00D27FD0" w:rsidP="00D27FD0">
      <w:pPr>
        <w:spacing w:after="0"/>
        <w:jc w:val="both"/>
        <w:rPr>
          <w:rFonts w:ascii="Tahoma" w:hAnsi="Tahoma" w:cs="Tahoma"/>
          <w:sz w:val="20"/>
        </w:rPr>
      </w:pPr>
      <w:r w:rsidRPr="0073286E">
        <w:rPr>
          <w:rFonts w:ascii="Tahoma" w:hAnsi="Tahoma" w:cs="Tahoma"/>
          <w:sz w:val="20"/>
        </w:rPr>
        <w:t>Letras Imobiliárias Garantidas até 20%.</w:t>
      </w:r>
    </w:p>
    <w:p w:rsidR="00D27FD0" w:rsidRPr="0073286E" w:rsidRDefault="00D27FD0" w:rsidP="00D27FD0">
      <w:pPr>
        <w:spacing w:after="0"/>
        <w:jc w:val="both"/>
        <w:rPr>
          <w:rFonts w:ascii="Tahoma" w:hAnsi="Tahoma" w:cs="Tahoma"/>
          <w:sz w:val="20"/>
        </w:rPr>
      </w:pPr>
    </w:p>
    <w:p w:rsidR="00D27FD0" w:rsidRDefault="00D27FD0" w:rsidP="00D27FD0">
      <w:pPr>
        <w:spacing w:after="0"/>
        <w:jc w:val="both"/>
        <w:rPr>
          <w:rFonts w:ascii="Tahoma" w:hAnsi="Tahoma" w:cs="Tahoma"/>
          <w:sz w:val="20"/>
        </w:rPr>
      </w:pPr>
      <w:r w:rsidRPr="0073286E">
        <w:rPr>
          <w:rFonts w:ascii="Tahoma" w:hAnsi="Tahoma" w:cs="Tahoma"/>
          <w:sz w:val="20"/>
        </w:rPr>
        <w:t>INCISO VI –15%</w:t>
      </w:r>
      <w:r>
        <w:rPr>
          <w:rFonts w:ascii="Tahoma" w:hAnsi="Tahoma" w:cs="Tahoma"/>
          <w:sz w:val="20"/>
        </w:rPr>
        <w:t xml:space="preserve">, </w:t>
      </w:r>
      <w:r w:rsidRPr="00AE7B41">
        <w:rPr>
          <w:rFonts w:ascii="Tahoma" w:hAnsi="Tahoma" w:cs="Tahoma"/>
          <w:sz w:val="20"/>
        </w:rPr>
        <w:t>limitado ao montante garantido pelo Fundo Garantidor de Créditos (FGC),</w:t>
      </w:r>
    </w:p>
    <w:p w:rsidR="00D27FD0" w:rsidRPr="00E8601E" w:rsidRDefault="00D27FD0" w:rsidP="00D27FD0">
      <w:pPr>
        <w:spacing w:after="0"/>
        <w:jc w:val="both"/>
        <w:rPr>
          <w:rFonts w:ascii="Tahoma" w:hAnsi="Tahoma" w:cs="Tahoma"/>
          <w:sz w:val="20"/>
        </w:rPr>
      </w:pPr>
    </w:p>
    <w:p w:rsidR="00D27FD0" w:rsidRDefault="00D27FD0" w:rsidP="00D27FD0">
      <w:pPr>
        <w:pStyle w:val="PargrafodaLista"/>
        <w:numPr>
          <w:ilvl w:val="0"/>
          <w:numId w:val="6"/>
        </w:numPr>
        <w:spacing w:after="0"/>
        <w:ind w:left="0" w:firstLine="0"/>
        <w:jc w:val="both"/>
        <w:rPr>
          <w:rFonts w:ascii="Tahoma" w:hAnsi="Tahoma" w:cs="Tahoma"/>
          <w:sz w:val="20"/>
        </w:rPr>
      </w:pPr>
      <w:r w:rsidRPr="00AA19B0">
        <w:rPr>
          <w:rFonts w:ascii="Tahoma" w:hAnsi="Tahoma" w:cs="Tahoma"/>
          <w:sz w:val="20"/>
        </w:rPr>
        <w:t>CDB ou poupança nos limites garantidos pelo FGC</w:t>
      </w:r>
      <w:bookmarkStart w:id="32" w:name="_Hlk496780665"/>
      <w:r>
        <w:rPr>
          <w:rFonts w:ascii="Tahoma" w:hAnsi="Tahoma" w:cs="Tahoma"/>
          <w:sz w:val="20"/>
        </w:rPr>
        <w:t>;</w:t>
      </w:r>
      <w:bookmarkEnd w:id="32"/>
    </w:p>
    <w:p w:rsidR="00D27FD0" w:rsidRDefault="00D27FD0" w:rsidP="00D27FD0">
      <w:pPr>
        <w:pStyle w:val="PargrafodaLista"/>
        <w:spacing w:after="0"/>
        <w:ind w:left="0"/>
        <w:jc w:val="both"/>
        <w:rPr>
          <w:rFonts w:ascii="Tahoma" w:hAnsi="Tahoma" w:cs="Tahoma"/>
          <w:sz w:val="20"/>
        </w:rPr>
      </w:pPr>
    </w:p>
    <w:p w:rsidR="00D27FD0" w:rsidRDefault="00D27FD0" w:rsidP="00D27FD0">
      <w:pPr>
        <w:pStyle w:val="PargrafodaLista"/>
        <w:numPr>
          <w:ilvl w:val="0"/>
          <w:numId w:val="6"/>
        </w:numPr>
        <w:spacing w:after="0"/>
        <w:ind w:left="0" w:firstLine="0"/>
        <w:jc w:val="both"/>
        <w:rPr>
          <w:rFonts w:ascii="Tahoma" w:hAnsi="Tahoma" w:cs="Tahoma"/>
          <w:sz w:val="20"/>
        </w:rPr>
      </w:pPr>
      <w:r>
        <w:rPr>
          <w:rFonts w:ascii="Tahoma" w:hAnsi="Tahoma" w:cs="Tahoma"/>
          <w:sz w:val="20"/>
        </w:rPr>
        <w:t>Depósito em Poupança;</w:t>
      </w:r>
    </w:p>
    <w:p w:rsidR="00D27FD0" w:rsidRPr="00AE7B41" w:rsidRDefault="00D27FD0" w:rsidP="00D27FD0">
      <w:pPr>
        <w:pStyle w:val="PargrafodaLista"/>
        <w:spacing w:after="0"/>
        <w:ind w:left="0"/>
        <w:jc w:val="both"/>
        <w:rPr>
          <w:rFonts w:ascii="Tahoma" w:hAnsi="Tahoma" w:cs="Tahoma"/>
          <w:sz w:val="20"/>
        </w:rPr>
      </w:pPr>
    </w:p>
    <w:p w:rsidR="00D27FD0" w:rsidRPr="00E8601E" w:rsidRDefault="00D27FD0" w:rsidP="00D27FD0">
      <w:pPr>
        <w:spacing w:after="0"/>
        <w:jc w:val="both"/>
        <w:rPr>
          <w:rFonts w:ascii="Tahoma" w:hAnsi="Tahoma" w:cs="Tahoma"/>
          <w:sz w:val="20"/>
        </w:rPr>
      </w:pPr>
      <w:r w:rsidRPr="00E8601E">
        <w:rPr>
          <w:rFonts w:ascii="Tahoma" w:hAnsi="Tahoma" w:cs="Tahoma"/>
          <w:sz w:val="20"/>
        </w:rPr>
        <w:t>INCISO VI</w:t>
      </w:r>
      <w:r>
        <w:rPr>
          <w:rFonts w:ascii="Tahoma" w:hAnsi="Tahoma" w:cs="Tahoma"/>
          <w:sz w:val="20"/>
        </w:rPr>
        <w:t>I - Até 5</w:t>
      </w:r>
      <w:r w:rsidRPr="00E8601E">
        <w:rPr>
          <w:rFonts w:ascii="Tahoma" w:hAnsi="Tahoma" w:cs="Tahoma"/>
          <w:sz w:val="20"/>
        </w:rPr>
        <w:t xml:space="preserve">% </w:t>
      </w:r>
    </w:p>
    <w:p w:rsidR="00D27FD0" w:rsidRPr="00E8601E" w:rsidRDefault="00D27FD0" w:rsidP="00D27FD0">
      <w:pPr>
        <w:spacing w:after="0"/>
        <w:jc w:val="both"/>
        <w:rPr>
          <w:rFonts w:ascii="Tahoma" w:hAnsi="Tahoma" w:cs="Tahoma"/>
          <w:sz w:val="20"/>
        </w:rPr>
      </w:pPr>
    </w:p>
    <w:p w:rsidR="00D27FD0" w:rsidRDefault="00D27FD0" w:rsidP="00D27FD0">
      <w:pPr>
        <w:pStyle w:val="PargrafodaLista"/>
        <w:numPr>
          <w:ilvl w:val="0"/>
          <w:numId w:val="7"/>
        </w:numPr>
        <w:spacing w:after="0"/>
        <w:ind w:left="0" w:firstLine="0"/>
        <w:jc w:val="both"/>
        <w:rPr>
          <w:rFonts w:ascii="Tahoma" w:hAnsi="Tahoma" w:cs="Tahoma"/>
          <w:sz w:val="20"/>
        </w:rPr>
      </w:pPr>
      <w:r w:rsidRPr="002C75FC">
        <w:rPr>
          <w:rFonts w:ascii="Tahoma" w:hAnsi="Tahoma" w:cs="Tahoma"/>
          <w:sz w:val="20"/>
        </w:rPr>
        <w:t>Cotas de classe sênior de FIDCs;</w:t>
      </w:r>
    </w:p>
    <w:p w:rsidR="00D27FD0" w:rsidRPr="002C75FC" w:rsidRDefault="00D27FD0" w:rsidP="00D27FD0">
      <w:pPr>
        <w:pStyle w:val="PargrafodaLista"/>
        <w:spacing w:after="0"/>
        <w:ind w:left="0"/>
        <w:jc w:val="both"/>
        <w:rPr>
          <w:rFonts w:ascii="Tahoma" w:hAnsi="Tahoma" w:cs="Tahoma"/>
          <w:sz w:val="20"/>
        </w:rPr>
      </w:pPr>
    </w:p>
    <w:p w:rsidR="00D27FD0" w:rsidRDefault="00D27FD0" w:rsidP="00D27FD0">
      <w:pPr>
        <w:pStyle w:val="PargrafodaLista"/>
        <w:numPr>
          <w:ilvl w:val="0"/>
          <w:numId w:val="7"/>
        </w:numPr>
        <w:spacing w:after="0"/>
        <w:ind w:left="0" w:firstLine="0"/>
        <w:jc w:val="both"/>
        <w:rPr>
          <w:rFonts w:ascii="Tahoma" w:hAnsi="Tahoma" w:cs="Tahoma"/>
          <w:sz w:val="20"/>
        </w:rPr>
      </w:pPr>
      <w:r w:rsidRPr="002C75FC">
        <w:rPr>
          <w:rFonts w:ascii="Tahoma" w:hAnsi="Tahoma" w:cs="Tahoma"/>
          <w:sz w:val="20"/>
        </w:rPr>
        <w:t>Fundos de investimentos de Renda Fixa ou Referenciados em indicadores de Renda Fixa, classificados como “Crédito Privado”;</w:t>
      </w:r>
    </w:p>
    <w:p w:rsidR="00D27FD0" w:rsidRPr="002C75FC" w:rsidRDefault="00D27FD0" w:rsidP="00D27FD0">
      <w:pPr>
        <w:pStyle w:val="PargrafodaLista"/>
        <w:spacing w:after="0"/>
        <w:ind w:left="0"/>
        <w:jc w:val="both"/>
        <w:rPr>
          <w:rFonts w:ascii="Tahoma" w:hAnsi="Tahoma" w:cs="Tahoma"/>
          <w:sz w:val="20"/>
        </w:rPr>
      </w:pPr>
    </w:p>
    <w:p w:rsidR="00D27FD0" w:rsidRPr="002C75FC" w:rsidRDefault="00D27FD0" w:rsidP="00D27FD0">
      <w:pPr>
        <w:pStyle w:val="PargrafodaLista"/>
        <w:numPr>
          <w:ilvl w:val="0"/>
          <w:numId w:val="6"/>
        </w:numPr>
        <w:spacing w:after="0"/>
        <w:ind w:left="0" w:firstLine="0"/>
        <w:jc w:val="both"/>
        <w:rPr>
          <w:rFonts w:ascii="Tahoma" w:hAnsi="Tahoma" w:cs="Tahoma"/>
          <w:sz w:val="20"/>
        </w:rPr>
      </w:pPr>
      <w:r w:rsidRPr="002C75FC">
        <w:rPr>
          <w:rFonts w:ascii="Tahoma" w:hAnsi="Tahoma" w:cs="Tahoma"/>
          <w:sz w:val="20"/>
        </w:rPr>
        <w:t>Fundos de debêntures de infraestrutura.</w:t>
      </w:r>
    </w:p>
    <w:p w:rsidR="00D27FD0" w:rsidRPr="00E8601E" w:rsidRDefault="00D27FD0" w:rsidP="00D27FD0">
      <w:pPr>
        <w:spacing w:after="0"/>
        <w:jc w:val="both"/>
        <w:rPr>
          <w:rFonts w:ascii="Tahoma" w:hAnsi="Tahoma" w:cs="Tahoma"/>
          <w:sz w:val="20"/>
        </w:rPr>
      </w:pPr>
    </w:p>
    <w:p w:rsidR="00D27FD0" w:rsidRPr="00E8601E" w:rsidRDefault="00D27FD0" w:rsidP="00D27FD0">
      <w:pPr>
        <w:spacing w:after="0"/>
        <w:jc w:val="both"/>
        <w:rPr>
          <w:rFonts w:ascii="Tahoma" w:hAnsi="Tahoma" w:cs="Tahoma"/>
          <w:sz w:val="20"/>
        </w:rPr>
      </w:pPr>
      <w:r>
        <w:rPr>
          <w:rFonts w:ascii="Tahoma" w:hAnsi="Tahoma" w:cs="Tahoma"/>
          <w:sz w:val="20"/>
        </w:rPr>
        <w:t>OBS.:</w:t>
      </w:r>
      <w:r w:rsidRPr="00E8601E">
        <w:rPr>
          <w:rFonts w:ascii="Tahoma" w:hAnsi="Tahoma" w:cs="Tahoma"/>
          <w:sz w:val="20"/>
        </w:rPr>
        <w:t xml:space="preserve"> A totalidade das aplicações previstas </w:t>
      </w:r>
      <w:r>
        <w:rPr>
          <w:rFonts w:ascii="Tahoma" w:hAnsi="Tahoma" w:cs="Tahoma"/>
          <w:sz w:val="20"/>
        </w:rPr>
        <w:t>neste art. não deverão exceder o limite de 5</w:t>
      </w:r>
      <w:r w:rsidRPr="00E8601E">
        <w:rPr>
          <w:rFonts w:ascii="Tahoma" w:hAnsi="Tahoma" w:cs="Tahoma"/>
          <w:sz w:val="20"/>
        </w:rPr>
        <w:t>% (</w:t>
      </w:r>
      <w:r>
        <w:rPr>
          <w:rFonts w:ascii="Tahoma" w:hAnsi="Tahoma" w:cs="Tahoma"/>
          <w:sz w:val="20"/>
        </w:rPr>
        <w:t>cinco por cento).</w:t>
      </w:r>
    </w:p>
    <w:p w:rsidR="00D27FD0" w:rsidRPr="00E8601E" w:rsidRDefault="00D27FD0" w:rsidP="00D27FD0">
      <w:pPr>
        <w:spacing w:after="0"/>
        <w:jc w:val="both"/>
        <w:rPr>
          <w:rFonts w:ascii="Tahoma" w:hAnsi="Tahoma" w:cs="Tahoma"/>
          <w:sz w:val="20"/>
        </w:rPr>
      </w:pPr>
    </w:p>
    <w:p w:rsidR="00D27FD0" w:rsidRPr="00E8601E" w:rsidRDefault="00D27FD0" w:rsidP="00D27FD0">
      <w:pPr>
        <w:spacing w:after="0"/>
        <w:jc w:val="both"/>
        <w:rPr>
          <w:rFonts w:ascii="Tahoma" w:hAnsi="Tahoma" w:cs="Tahoma"/>
          <w:sz w:val="20"/>
        </w:rPr>
      </w:pPr>
      <w:r w:rsidRPr="00E8601E">
        <w:rPr>
          <w:rFonts w:ascii="Tahoma" w:hAnsi="Tahoma" w:cs="Tahoma"/>
          <w:sz w:val="20"/>
        </w:rPr>
        <w:t>Artigo 8º - RENDA VARIÁVEL</w:t>
      </w:r>
    </w:p>
    <w:p w:rsidR="00D27FD0" w:rsidRPr="00E8601E" w:rsidRDefault="00D27FD0" w:rsidP="00D27FD0">
      <w:pPr>
        <w:spacing w:after="0"/>
        <w:jc w:val="both"/>
        <w:rPr>
          <w:rFonts w:ascii="Tahoma" w:hAnsi="Tahoma" w:cs="Tahoma"/>
          <w:sz w:val="20"/>
        </w:rPr>
      </w:pPr>
    </w:p>
    <w:p w:rsidR="00D27FD0" w:rsidRDefault="00D27FD0" w:rsidP="00D27FD0">
      <w:pPr>
        <w:spacing w:after="0"/>
        <w:jc w:val="both"/>
        <w:rPr>
          <w:rFonts w:ascii="Tahoma" w:hAnsi="Tahoma" w:cs="Tahoma"/>
          <w:sz w:val="20"/>
        </w:rPr>
      </w:pPr>
      <w:r w:rsidRPr="00E8601E">
        <w:rPr>
          <w:rFonts w:ascii="Tahoma" w:hAnsi="Tahoma" w:cs="Tahoma"/>
          <w:sz w:val="20"/>
        </w:rPr>
        <w:t xml:space="preserve">INCISO I - Até 30% </w:t>
      </w:r>
    </w:p>
    <w:p w:rsidR="00D27FD0" w:rsidRDefault="00D27FD0" w:rsidP="00D27FD0">
      <w:pPr>
        <w:spacing w:after="0"/>
        <w:jc w:val="both"/>
        <w:rPr>
          <w:rFonts w:ascii="Tahoma" w:hAnsi="Tahoma" w:cs="Tahoma"/>
          <w:sz w:val="20"/>
        </w:rPr>
      </w:pPr>
    </w:p>
    <w:p w:rsidR="00D27FD0" w:rsidRDefault="00D27FD0" w:rsidP="00D27FD0">
      <w:pPr>
        <w:pStyle w:val="PargrafodaLista"/>
        <w:numPr>
          <w:ilvl w:val="0"/>
          <w:numId w:val="8"/>
        </w:numPr>
        <w:spacing w:after="0"/>
        <w:jc w:val="both"/>
        <w:rPr>
          <w:rFonts w:ascii="Tahoma" w:hAnsi="Tahoma" w:cs="Tahoma"/>
          <w:sz w:val="20"/>
        </w:rPr>
      </w:pPr>
      <w:r w:rsidRPr="006662AA">
        <w:rPr>
          <w:rFonts w:ascii="Tahoma" w:hAnsi="Tahoma" w:cs="Tahoma"/>
          <w:sz w:val="20"/>
        </w:rPr>
        <w:t xml:space="preserve">em Fundos de Renda Variáveis classificados como referenciados, que possuam como índices de referência </w:t>
      </w:r>
      <w:r>
        <w:rPr>
          <w:rFonts w:ascii="Tahoma" w:hAnsi="Tahoma" w:cs="Tahoma"/>
          <w:sz w:val="20"/>
        </w:rPr>
        <w:t>o IBOVESPA, IBrX ou IBrX-50;</w:t>
      </w:r>
    </w:p>
    <w:p w:rsidR="00D27FD0" w:rsidRDefault="00D27FD0" w:rsidP="00D27FD0">
      <w:pPr>
        <w:pStyle w:val="PargrafodaLista"/>
        <w:spacing w:after="0"/>
        <w:jc w:val="both"/>
        <w:rPr>
          <w:rFonts w:ascii="Tahoma" w:hAnsi="Tahoma" w:cs="Tahoma"/>
          <w:sz w:val="20"/>
        </w:rPr>
      </w:pPr>
    </w:p>
    <w:p w:rsidR="00D27FD0" w:rsidRPr="006662AA" w:rsidRDefault="00D27FD0" w:rsidP="00D27FD0">
      <w:pPr>
        <w:pStyle w:val="PargrafodaLista"/>
        <w:numPr>
          <w:ilvl w:val="0"/>
          <w:numId w:val="8"/>
        </w:numPr>
        <w:spacing w:after="0"/>
        <w:jc w:val="both"/>
        <w:rPr>
          <w:rFonts w:ascii="Tahoma" w:hAnsi="Tahoma" w:cs="Tahoma"/>
          <w:sz w:val="20"/>
        </w:rPr>
      </w:pPr>
      <w:r w:rsidRPr="00DB703B">
        <w:rPr>
          <w:rFonts w:ascii="Tahoma" w:hAnsi="Tahoma" w:cs="Tahoma"/>
          <w:sz w:val="20"/>
        </w:rPr>
        <w:t>ETF (Índices c/ no mínimo 50 ações)</w:t>
      </w:r>
      <w:r>
        <w:rPr>
          <w:rFonts w:ascii="Tahoma" w:hAnsi="Tahoma" w:cs="Tahoma"/>
          <w:sz w:val="20"/>
        </w:rPr>
        <w:t>.</w:t>
      </w:r>
    </w:p>
    <w:p w:rsidR="00D27FD0" w:rsidRPr="00E8601E" w:rsidRDefault="00D27FD0" w:rsidP="00D27FD0">
      <w:pPr>
        <w:spacing w:after="0"/>
        <w:jc w:val="both"/>
        <w:rPr>
          <w:rFonts w:ascii="Tahoma" w:hAnsi="Tahoma" w:cs="Tahoma"/>
          <w:sz w:val="20"/>
        </w:rPr>
      </w:pPr>
    </w:p>
    <w:p w:rsidR="00D27FD0" w:rsidRDefault="00D27FD0" w:rsidP="00D27FD0">
      <w:pPr>
        <w:spacing w:after="0"/>
        <w:jc w:val="both"/>
        <w:rPr>
          <w:rFonts w:ascii="Tahoma" w:hAnsi="Tahoma" w:cs="Tahoma"/>
          <w:sz w:val="20"/>
        </w:rPr>
      </w:pPr>
      <w:r w:rsidRPr="00E8601E">
        <w:rPr>
          <w:rFonts w:ascii="Tahoma" w:hAnsi="Tahoma" w:cs="Tahoma"/>
          <w:sz w:val="20"/>
        </w:rPr>
        <w:t xml:space="preserve">INCISO II - Até 20% </w:t>
      </w:r>
    </w:p>
    <w:p w:rsidR="00D27FD0" w:rsidRDefault="00D27FD0" w:rsidP="00D27FD0">
      <w:pPr>
        <w:spacing w:after="0"/>
        <w:jc w:val="both"/>
        <w:rPr>
          <w:rFonts w:ascii="Tahoma" w:hAnsi="Tahoma" w:cs="Tahoma"/>
          <w:sz w:val="20"/>
        </w:rPr>
      </w:pPr>
    </w:p>
    <w:p w:rsidR="00D27FD0" w:rsidRDefault="00D27FD0" w:rsidP="00D27FD0">
      <w:pPr>
        <w:pStyle w:val="PargrafodaLista"/>
        <w:numPr>
          <w:ilvl w:val="0"/>
          <w:numId w:val="9"/>
        </w:numPr>
        <w:spacing w:after="0"/>
        <w:jc w:val="both"/>
        <w:rPr>
          <w:rFonts w:ascii="Tahoma" w:hAnsi="Tahoma" w:cs="Tahoma"/>
          <w:sz w:val="20"/>
        </w:rPr>
      </w:pPr>
      <w:r w:rsidRPr="001D02B3">
        <w:rPr>
          <w:rFonts w:ascii="Tahoma" w:hAnsi="Tahoma" w:cs="Tahoma"/>
          <w:sz w:val="20"/>
        </w:rPr>
        <w:t>em Fundos de Ações, cujos regulamentos determinem que as cotas de fundos de índices que compõem a sua carteira restrinjam-se aos ín</w:t>
      </w:r>
      <w:r>
        <w:rPr>
          <w:rFonts w:ascii="Tahoma" w:hAnsi="Tahoma" w:cs="Tahoma"/>
          <w:sz w:val="20"/>
        </w:rPr>
        <w:t>dices IBOVESPA, IBrX ou IBrX-50;</w:t>
      </w:r>
    </w:p>
    <w:p w:rsidR="00D27FD0" w:rsidRDefault="00D27FD0" w:rsidP="00D27FD0">
      <w:pPr>
        <w:pStyle w:val="PargrafodaLista"/>
        <w:spacing w:after="0"/>
        <w:jc w:val="both"/>
        <w:rPr>
          <w:rFonts w:ascii="Tahoma" w:hAnsi="Tahoma" w:cs="Tahoma"/>
          <w:sz w:val="20"/>
        </w:rPr>
      </w:pPr>
    </w:p>
    <w:p w:rsidR="00D27FD0" w:rsidRDefault="00D27FD0" w:rsidP="00D27FD0">
      <w:pPr>
        <w:pStyle w:val="PargrafodaLista"/>
        <w:numPr>
          <w:ilvl w:val="0"/>
          <w:numId w:val="9"/>
        </w:numPr>
        <w:spacing w:after="0"/>
        <w:jc w:val="both"/>
        <w:rPr>
          <w:rFonts w:ascii="Tahoma" w:hAnsi="Tahoma" w:cs="Tahoma"/>
          <w:sz w:val="20"/>
        </w:rPr>
      </w:pPr>
      <w:r w:rsidRPr="001D02B3">
        <w:rPr>
          <w:rFonts w:ascii="Tahoma" w:hAnsi="Tahoma" w:cs="Tahoma"/>
          <w:sz w:val="20"/>
        </w:rPr>
        <w:t>ETF (Índices em geral)</w:t>
      </w:r>
      <w:r>
        <w:rPr>
          <w:rFonts w:ascii="Tahoma" w:hAnsi="Tahoma" w:cs="Tahoma"/>
          <w:sz w:val="20"/>
        </w:rPr>
        <w:t>.</w:t>
      </w:r>
    </w:p>
    <w:p w:rsidR="00D27FD0" w:rsidRDefault="00D27FD0" w:rsidP="00D27FD0">
      <w:pPr>
        <w:spacing w:after="0"/>
        <w:jc w:val="both"/>
        <w:rPr>
          <w:rFonts w:ascii="Tahoma" w:hAnsi="Tahoma" w:cs="Tahoma"/>
          <w:sz w:val="20"/>
        </w:rPr>
      </w:pPr>
    </w:p>
    <w:p w:rsidR="00D27FD0" w:rsidRDefault="00D27FD0" w:rsidP="00D27FD0">
      <w:pPr>
        <w:spacing w:after="0"/>
        <w:jc w:val="both"/>
        <w:rPr>
          <w:rFonts w:ascii="Tahoma" w:hAnsi="Tahoma" w:cs="Tahoma"/>
          <w:sz w:val="20"/>
        </w:rPr>
      </w:pPr>
      <w:r w:rsidRPr="00D14826">
        <w:rPr>
          <w:rFonts w:ascii="Tahoma" w:hAnsi="Tahoma" w:cs="Tahoma"/>
          <w:sz w:val="20"/>
        </w:rPr>
        <w:t>INCISO III -  Até 10% em Fundos Multimercados.</w:t>
      </w:r>
    </w:p>
    <w:p w:rsidR="00D27FD0" w:rsidRPr="00E8601E" w:rsidRDefault="00D27FD0" w:rsidP="00D27FD0">
      <w:pPr>
        <w:spacing w:after="0"/>
        <w:jc w:val="both"/>
        <w:rPr>
          <w:rFonts w:ascii="Tahoma" w:hAnsi="Tahoma" w:cs="Tahoma"/>
          <w:sz w:val="20"/>
        </w:rPr>
      </w:pPr>
    </w:p>
    <w:p w:rsidR="00D27FD0" w:rsidRPr="00C52182" w:rsidRDefault="00D27FD0" w:rsidP="00D27FD0">
      <w:pPr>
        <w:spacing w:after="0"/>
        <w:jc w:val="both"/>
        <w:rPr>
          <w:rFonts w:ascii="Tahoma" w:hAnsi="Tahoma" w:cs="Tahoma"/>
          <w:sz w:val="20"/>
        </w:rPr>
      </w:pPr>
      <w:r w:rsidRPr="00C52182">
        <w:rPr>
          <w:rFonts w:ascii="Tahoma" w:hAnsi="Tahoma" w:cs="Tahoma"/>
          <w:sz w:val="20"/>
        </w:rPr>
        <w:t xml:space="preserve">INCISO IV - Até 5% </w:t>
      </w:r>
    </w:p>
    <w:p w:rsidR="00D27FD0" w:rsidRPr="00C52182" w:rsidRDefault="00D27FD0" w:rsidP="00D27FD0">
      <w:pPr>
        <w:spacing w:after="0"/>
        <w:jc w:val="both"/>
        <w:rPr>
          <w:rFonts w:ascii="Tahoma" w:hAnsi="Tahoma" w:cs="Tahoma"/>
          <w:sz w:val="20"/>
        </w:rPr>
      </w:pPr>
    </w:p>
    <w:p w:rsidR="00D27FD0" w:rsidRPr="00C52182" w:rsidRDefault="00D27FD0" w:rsidP="00D27FD0">
      <w:pPr>
        <w:pStyle w:val="PargrafodaLista"/>
        <w:numPr>
          <w:ilvl w:val="0"/>
          <w:numId w:val="10"/>
        </w:numPr>
        <w:spacing w:after="0"/>
        <w:jc w:val="both"/>
        <w:rPr>
          <w:rFonts w:ascii="Tahoma" w:hAnsi="Tahoma" w:cs="Tahoma"/>
          <w:sz w:val="20"/>
        </w:rPr>
      </w:pPr>
      <w:r w:rsidRPr="00C52182">
        <w:rPr>
          <w:rFonts w:ascii="Tahoma" w:hAnsi="Tahoma" w:cs="Tahoma"/>
          <w:sz w:val="20"/>
        </w:rPr>
        <w:t>em Fundos de Investimentos em Participações (FIPs).</w:t>
      </w:r>
    </w:p>
    <w:p w:rsidR="00D27FD0" w:rsidRPr="00C52182" w:rsidRDefault="00D27FD0" w:rsidP="00D27FD0">
      <w:pPr>
        <w:pStyle w:val="PargrafodaLista"/>
        <w:numPr>
          <w:ilvl w:val="0"/>
          <w:numId w:val="10"/>
        </w:numPr>
        <w:spacing w:after="0"/>
        <w:jc w:val="both"/>
        <w:rPr>
          <w:rFonts w:ascii="Tahoma" w:hAnsi="Tahoma" w:cs="Tahoma"/>
          <w:sz w:val="20"/>
        </w:rPr>
      </w:pPr>
      <w:r w:rsidRPr="00C52182">
        <w:rPr>
          <w:rFonts w:ascii="Tahoma" w:hAnsi="Tahoma" w:cs="Tahoma"/>
          <w:sz w:val="20"/>
        </w:rPr>
        <w:t>Fundos de investimentos Imobiliários (FIIs)</w:t>
      </w:r>
    </w:p>
    <w:p w:rsidR="00D27FD0" w:rsidRPr="00E8601E" w:rsidRDefault="00D27FD0" w:rsidP="00D27FD0">
      <w:pPr>
        <w:spacing w:after="0"/>
        <w:jc w:val="both"/>
        <w:rPr>
          <w:rFonts w:ascii="Tahoma" w:hAnsi="Tahoma" w:cs="Tahoma"/>
          <w:sz w:val="20"/>
        </w:rPr>
      </w:pPr>
    </w:p>
    <w:p w:rsidR="00D27FD0" w:rsidRDefault="00D27FD0" w:rsidP="00D27FD0">
      <w:pPr>
        <w:spacing w:after="0"/>
        <w:jc w:val="both"/>
        <w:rPr>
          <w:rFonts w:ascii="Tahoma" w:hAnsi="Tahoma" w:cs="Tahoma"/>
          <w:sz w:val="20"/>
        </w:rPr>
      </w:pPr>
      <w:r w:rsidRPr="00E8601E">
        <w:rPr>
          <w:rFonts w:ascii="Tahoma" w:hAnsi="Tahoma" w:cs="Tahoma"/>
          <w:sz w:val="20"/>
        </w:rPr>
        <w:t>OBS.: As aplicações em Renda Variável na sua totalidade não deverão exceder o limite de 30% das aplicações do RPPS.</w:t>
      </w:r>
    </w:p>
    <w:p w:rsidR="00A56DE8" w:rsidRPr="009911C8" w:rsidRDefault="00251F7D" w:rsidP="009911C8">
      <w:pPr>
        <w:rPr>
          <w:rFonts w:ascii="Tahoma" w:hAnsi="Tahoma" w:cs="Tahoma"/>
          <w:sz w:val="20"/>
        </w:rPr>
      </w:pPr>
      <w:r w:rsidRPr="00E8601E">
        <w:rPr>
          <w:rFonts w:ascii="Tahoma" w:hAnsi="Tahoma" w:cs="Tahoma"/>
          <w:sz w:val="20"/>
        </w:rPr>
        <w:br w:type="page"/>
      </w:r>
      <w:bookmarkStart w:id="33" w:name="_Toc436040836"/>
      <w:bookmarkStart w:id="34" w:name="_Toc481564684"/>
      <w:bookmarkStart w:id="35" w:name="_Toc496874706"/>
      <w:r w:rsidR="00A56DE8" w:rsidRPr="00E8601E">
        <w:rPr>
          <w:rStyle w:val="Ttulo1Char"/>
          <w:sz w:val="22"/>
        </w:rPr>
        <w:lastRenderedPageBreak/>
        <w:t>CONJUNTURA ECONÔMICA E ANÁLISE DE MERCADO</w:t>
      </w:r>
      <w:bookmarkEnd w:id="33"/>
      <w:bookmarkEnd w:id="34"/>
      <w:bookmarkEnd w:id="35"/>
      <w:r w:rsidR="00A56DE8" w:rsidRPr="00E8601E">
        <w:rPr>
          <w:rFonts w:ascii="Tahoma" w:hAnsi="Tahoma" w:cs="Tahoma"/>
          <w:sz w:val="20"/>
        </w:rPr>
        <w:object w:dxaOrig="3163" w:dyaOrig="3187">
          <v:shape id="_x0000_i1033" type="#_x0000_t75" style="width:23.25pt;height:23.25pt" o:ole="">
            <v:imagedata r:id="rId10" o:title=""/>
          </v:shape>
          <o:OLEObject Type="Embed" ProgID="CorelDRAW.Graphic.13" ShapeID="_x0000_i1033" DrawAspect="Content" ObjectID="_1608620656" r:id="rId18"/>
        </w:object>
      </w:r>
    </w:p>
    <w:p w:rsidR="00A56DE8" w:rsidRPr="00E8601E" w:rsidRDefault="00A56DE8" w:rsidP="00A56DE8">
      <w:pPr>
        <w:spacing w:after="120"/>
        <w:rPr>
          <w:rFonts w:ascii="Tahoma" w:hAnsi="Tahoma" w:cs="Tahoma"/>
          <w:sz w:val="20"/>
        </w:rPr>
      </w:pPr>
    </w:p>
    <w:p w:rsidR="00213A52" w:rsidRPr="00373011" w:rsidRDefault="00213A52" w:rsidP="00213A52">
      <w:pPr>
        <w:spacing w:after="120"/>
        <w:jc w:val="both"/>
        <w:rPr>
          <w:rFonts w:ascii="Tahoma" w:hAnsi="Tahoma" w:cs="Tahoma"/>
          <w:sz w:val="20"/>
        </w:rPr>
      </w:pPr>
      <w:r w:rsidRPr="00373011">
        <w:rPr>
          <w:rFonts w:ascii="Tahoma" w:hAnsi="Tahoma" w:cs="Tahoma"/>
          <w:sz w:val="20"/>
        </w:rPr>
        <w:t>A conjuntura econômica representa uma configuração da realidade circunstancial da economia. Através de indicadores de mercado e suas inter-relações, esta seção pretende cumprir o papel de apresentar perspectivas acerca das possíveis condições econômicas que pautarão o próximo exercício. O foco é atribuído em especial às expectativas de mercado, as quais se constituem como as principais sinalizadoras para a tomada de decisões de investimentos. A proposta é produzir indícios que permitam transitar pela realidade atual e espreitar as conjecturas formadas pelos agentes de mercado. A partir dos indicadores selecionados, analisa-se o comportamento da economia ao longo do ano, identificando-se os principais desafios e tendências para a condução da política econômica no decorrer de 201</w:t>
      </w:r>
      <w:r>
        <w:rPr>
          <w:rFonts w:ascii="Tahoma" w:hAnsi="Tahoma" w:cs="Tahoma"/>
          <w:sz w:val="20"/>
        </w:rPr>
        <w:t>9</w:t>
      </w:r>
      <w:r w:rsidRPr="00373011">
        <w:rPr>
          <w:rFonts w:ascii="Tahoma" w:hAnsi="Tahoma" w:cs="Tahoma"/>
          <w:sz w:val="20"/>
        </w:rPr>
        <w:t>.</w:t>
      </w:r>
    </w:p>
    <w:p w:rsidR="00213A52" w:rsidRPr="006B5141" w:rsidRDefault="00213A52" w:rsidP="00213A52">
      <w:pPr>
        <w:spacing w:after="120"/>
        <w:jc w:val="both"/>
        <w:rPr>
          <w:rFonts w:ascii="Tahoma" w:hAnsi="Tahoma" w:cs="Tahoma"/>
          <w:sz w:val="20"/>
        </w:rPr>
      </w:pPr>
      <w:r>
        <w:rPr>
          <w:rFonts w:ascii="Tahoma" w:hAnsi="Tahoma" w:cs="Tahoma"/>
          <w:sz w:val="20"/>
        </w:rPr>
        <w:t>Terminamos o ano</w:t>
      </w:r>
      <w:r w:rsidRPr="006B5141">
        <w:rPr>
          <w:rFonts w:ascii="Tahoma" w:hAnsi="Tahoma" w:cs="Tahoma"/>
          <w:sz w:val="20"/>
        </w:rPr>
        <w:t xml:space="preserve"> de 2017</w:t>
      </w:r>
      <w:r>
        <w:rPr>
          <w:rFonts w:ascii="Tahoma" w:hAnsi="Tahoma" w:cs="Tahoma"/>
          <w:sz w:val="20"/>
        </w:rPr>
        <w:t xml:space="preserve"> onde</w:t>
      </w:r>
      <w:r w:rsidRPr="006B5141">
        <w:rPr>
          <w:rFonts w:ascii="Tahoma" w:hAnsi="Tahoma" w:cs="Tahoma"/>
          <w:sz w:val="20"/>
        </w:rPr>
        <w:t xml:space="preserve"> a economia mundial estava preocupada com dois principais fatores de risco: </w:t>
      </w:r>
      <w:r>
        <w:rPr>
          <w:rFonts w:ascii="Tahoma" w:hAnsi="Tahoma" w:cs="Tahoma"/>
          <w:sz w:val="20"/>
        </w:rPr>
        <w:t>a)</w:t>
      </w:r>
      <w:r w:rsidRPr="006B5141">
        <w:rPr>
          <w:rFonts w:ascii="Tahoma" w:hAnsi="Tahoma" w:cs="Tahoma"/>
          <w:sz w:val="20"/>
        </w:rPr>
        <w:t xml:space="preserve"> A Coréia do Norte e os EUA vão entrar em Guerra?;</w:t>
      </w:r>
      <w:r>
        <w:rPr>
          <w:rFonts w:ascii="Tahoma" w:hAnsi="Tahoma" w:cs="Tahoma"/>
          <w:sz w:val="20"/>
        </w:rPr>
        <w:t>b)</w:t>
      </w:r>
      <w:r w:rsidRPr="006B5141">
        <w:rPr>
          <w:rFonts w:ascii="Tahoma" w:hAnsi="Tahoma" w:cs="Tahoma"/>
          <w:sz w:val="20"/>
        </w:rPr>
        <w:t xml:space="preserve"> Como irá se comportar a economia Chinesa?</w:t>
      </w:r>
    </w:p>
    <w:p w:rsidR="00213A52" w:rsidRPr="006B5141" w:rsidRDefault="00213A52" w:rsidP="00213A52">
      <w:pPr>
        <w:spacing w:after="120"/>
        <w:jc w:val="both"/>
        <w:rPr>
          <w:rFonts w:ascii="Tahoma" w:hAnsi="Tahoma" w:cs="Tahoma"/>
          <w:sz w:val="20"/>
        </w:rPr>
      </w:pPr>
      <w:r w:rsidRPr="006B5141">
        <w:rPr>
          <w:rFonts w:ascii="Tahoma" w:hAnsi="Tahoma" w:cs="Tahoma"/>
          <w:sz w:val="20"/>
        </w:rPr>
        <w:t xml:space="preserve">Podemos dizer que esses temores se dissiparam durante 2018. O improvável encontro entre o Ditador Coreano e Donald Trump praticamente encerraram as ameaças. Claro, ainda existe uma alfinetada de lá e uma resposta mais brusca de cá, mas nada que represente risco. Os exercícios militares estão praticamente findos. </w:t>
      </w:r>
    </w:p>
    <w:p w:rsidR="00213A52" w:rsidRPr="006B5141" w:rsidRDefault="00213A52" w:rsidP="00213A52">
      <w:pPr>
        <w:spacing w:after="120"/>
        <w:jc w:val="both"/>
        <w:rPr>
          <w:rFonts w:ascii="Tahoma" w:hAnsi="Tahoma" w:cs="Tahoma"/>
          <w:sz w:val="20"/>
        </w:rPr>
      </w:pPr>
      <w:r w:rsidRPr="006B5141">
        <w:rPr>
          <w:rFonts w:ascii="Tahoma" w:hAnsi="Tahoma" w:cs="Tahoma"/>
          <w:sz w:val="20"/>
        </w:rPr>
        <w:t xml:space="preserve">Com relação à China, o país vem reduzindo o crescimento, conforme amplamente esperado, de forma gradual e lenta, nos levando ao cenário ideal, sem surpresas, conforme veremos quando da análise econômica do país. Na realidade, vem conduzindo de forma bem interessante o desaquecimento. </w:t>
      </w:r>
    </w:p>
    <w:p w:rsidR="00213A52" w:rsidRPr="00373011" w:rsidRDefault="00213A52" w:rsidP="00213A52">
      <w:pPr>
        <w:spacing w:after="120"/>
        <w:jc w:val="both"/>
        <w:rPr>
          <w:rFonts w:ascii="Tahoma" w:hAnsi="Tahoma" w:cs="Tahoma"/>
          <w:sz w:val="20"/>
        </w:rPr>
      </w:pPr>
      <w:r w:rsidRPr="006B5141">
        <w:rPr>
          <w:rFonts w:ascii="Tahoma" w:hAnsi="Tahoma" w:cs="Tahoma"/>
          <w:sz w:val="20"/>
        </w:rPr>
        <w:t>Atualmente podemos dizer que os maiores riscos que temos são: 1 – Guerra Comercial entre os EUA e os demais países do mundo; 2 - Desaquecimento da Economia Mundial; Os dois fatores de risco estão bastante presentes, portanto, estamos em um momento de alerta global</w:t>
      </w:r>
      <w:r>
        <w:rPr>
          <w:rFonts w:ascii="Tahoma" w:hAnsi="Tahoma" w:cs="Tahoma"/>
          <w:sz w:val="20"/>
        </w:rPr>
        <w:t xml:space="preserve"> para elevação dos juros dos EUA</w:t>
      </w:r>
      <w:r w:rsidRPr="006B5141">
        <w:rPr>
          <w:rFonts w:ascii="Tahoma" w:hAnsi="Tahoma" w:cs="Tahoma"/>
          <w:sz w:val="20"/>
        </w:rPr>
        <w:t>.</w:t>
      </w:r>
    </w:p>
    <w:p w:rsidR="00213A52" w:rsidRDefault="00213A52" w:rsidP="00213A52">
      <w:pPr>
        <w:spacing w:after="120"/>
        <w:jc w:val="both"/>
        <w:rPr>
          <w:rFonts w:ascii="Tahoma" w:hAnsi="Tahoma" w:cs="Tahoma"/>
          <w:sz w:val="20"/>
        </w:rPr>
      </w:pPr>
      <w:r w:rsidRPr="00373011">
        <w:rPr>
          <w:rFonts w:ascii="Tahoma" w:hAnsi="Tahoma" w:cs="Tahoma"/>
          <w:sz w:val="20"/>
        </w:rPr>
        <w:t>Em 201</w:t>
      </w:r>
      <w:r>
        <w:rPr>
          <w:rFonts w:ascii="Tahoma" w:hAnsi="Tahoma" w:cs="Tahoma"/>
          <w:sz w:val="20"/>
        </w:rPr>
        <w:t>8 (Janeiro a Agosto)</w:t>
      </w:r>
      <w:r w:rsidRPr="00373011">
        <w:rPr>
          <w:rFonts w:ascii="Tahoma" w:hAnsi="Tahoma" w:cs="Tahoma"/>
          <w:sz w:val="20"/>
        </w:rPr>
        <w:t>, os subíndices Anbima</w:t>
      </w:r>
      <w:r>
        <w:rPr>
          <w:rFonts w:ascii="Tahoma" w:hAnsi="Tahoma" w:cs="Tahoma"/>
          <w:sz w:val="20"/>
        </w:rPr>
        <w:t>não continuarão</w:t>
      </w:r>
      <w:r w:rsidRPr="00373011">
        <w:rPr>
          <w:rFonts w:ascii="Tahoma" w:hAnsi="Tahoma" w:cs="Tahoma"/>
          <w:sz w:val="20"/>
        </w:rPr>
        <w:t xml:space="preserve"> perfazendo ganhos superiores às metas atuariais, </w:t>
      </w:r>
      <w:r>
        <w:rPr>
          <w:rFonts w:ascii="Tahoma" w:hAnsi="Tahoma" w:cs="Tahoma"/>
          <w:sz w:val="20"/>
        </w:rPr>
        <w:t>conforme anos anteriores. Essa meta c</w:t>
      </w:r>
      <w:r w:rsidRPr="00373011">
        <w:rPr>
          <w:rFonts w:ascii="Tahoma" w:hAnsi="Tahoma" w:cs="Tahoma"/>
          <w:sz w:val="20"/>
        </w:rPr>
        <w:t xml:space="preserve">orresponde a variação acumulada do IPCA acrescida de 6% ao ano. </w:t>
      </w:r>
      <w:r>
        <w:rPr>
          <w:rFonts w:ascii="Tahoma" w:hAnsi="Tahoma" w:cs="Tahoma"/>
          <w:sz w:val="20"/>
        </w:rPr>
        <w:t xml:space="preserve">Apresentando </w:t>
      </w:r>
      <w:r w:rsidRPr="00373011">
        <w:rPr>
          <w:rFonts w:ascii="Tahoma" w:hAnsi="Tahoma" w:cs="Tahoma"/>
          <w:sz w:val="20"/>
        </w:rPr>
        <w:t xml:space="preserve">ganhos </w:t>
      </w:r>
      <w:r>
        <w:rPr>
          <w:rFonts w:ascii="Tahoma" w:hAnsi="Tahoma" w:cs="Tahoma"/>
          <w:sz w:val="20"/>
        </w:rPr>
        <w:t>abaixo dos registrados nos últimos anos, vide tabela abaixo, mesmo com o controle</w:t>
      </w:r>
      <w:r w:rsidRPr="00373011">
        <w:rPr>
          <w:rFonts w:ascii="Tahoma" w:hAnsi="Tahoma" w:cs="Tahoma"/>
          <w:sz w:val="20"/>
        </w:rPr>
        <w:t xml:space="preserve"> inflacionário</w:t>
      </w:r>
      <w:r>
        <w:rPr>
          <w:rFonts w:ascii="Tahoma" w:hAnsi="Tahoma" w:cs="Tahoma"/>
          <w:sz w:val="20"/>
        </w:rPr>
        <w:t xml:space="preserve"> e alguns índices econômicos positivos. A questão politica tem afetado o humor do mercado aliado a um segundo semestre onde existe a corrida eleitoral</w:t>
      </w:r>
      <w:r w:rsidRPr="00373011">
        <w:rPr>
          <w:rFonts w:ascii="Tahoma" w:hAnsi="Tahoma" w:cs="Tahoma"/>
          <w:sz w:val="20"/>
        </w:rPr>
        <w:t xml:space="preserve">. </w:t>
      </w:r>
    </w:p>
    <w:p w:rsidR="00213A52" w:rsidRPr="00373011" w:rsidRDefault="00213A52" w:rsidP="00213A52">
      <w:pPr>
        <w:spacing w:after="120"/>
        <w:jc w:val="center"/>
        <w:rPr>
          <w:rFonts w:ascii="Tahoma" w:hAnsi="Tahoma" w:cs="Tahoma"/>
          <w:sz w:val="20"/>
        </w:rPr>
      </w:pPr>
      <w:r w:rsidRPr="002768C7">
        <w:rPr>
          <w:noProof/>
        </w:rPr>
        <w:drawing>
          <wp:inline distT="0" distB="0" distL="0" distR="0">
            <wp:extent cx="3056253" cy="16097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81975" cy="1623273"/>
                    </a:xfrm>
                    <a:prstGeom prst="rect">
                      <a:avLst/>
                    </a:prstGeom>
                    <a:noFill/>
                    <a:ln>
                      <a:noFill/>
                    </a:ln>
                  </pic:spPr>
                </pic:pic>
              </a:graphicData>
            </a:graphic>
          </wp:inline>
        </w:drawing>
      </w:r>
    </w:p>
    <w:p w:rsidR="00213A52" w:rsidRPr="00213A52" w:rsidRDefault="00213A52" w:rsidP="00213A52">
      <w:pPr>
        <w:pStyle w:val="Ttulo2"/>
        <w:rPr>
          <w:rFonts w:ascii="Tahoma" w:eastAsiaTheme="minorEastAsia" w:hAnsi="Tahoma" w:cs="Tahoma"/>
          <w:b/>
          <w:color w:val="auto"/>
          <w:sz w:val="20"/>
          <w:szCs w:val="22"/>
        </w:rPr>
      </w:pPr>
      <w:bookmarkStart w:id="36" w:name="_Toc436040837"/>
      <w:r w:rsidRPr="00213A52">
        <w:rPr>
          <w:rFonts w:ascii="Tahoma" w:eastAsiaTheme="minorEastAsia" w:hAnsi="Tahoma" w:cs="Tahoma"/>
          <w:b/>
          <w:color w:val="auto"/>
          <w:sz w:val="20"/>
          <w:szCs w:val="22"/>
        </w:rPr>
        <w:lastRenderedPageBreak/>
        <w:t>Economia Mundial e taxa de câmbio</w:t>
      </w:r>
      <w:bookmarkEnd w:id="36"/>
    </w:p>
    <w:p w:rsidR="00213A52" w:rsidRPr="00213A52" w:rsidRDefault="00213A52" w:rsidP="00213A52">
      <w:pPr>
        <w:rPr>
          <w:rFonts w:ascii="Tahoma" w:hAnsi="Tahoma" w:cs="Tahoma"/>
          <w:sz w:val="20"/>
        </w:rPr>
      </w:pPr>
    </w:p>
    <w:p w:rsidR="00213A52" w:rsidRPr="002768C7" w:rsidRDefault="00213A52" w:rsidP="00213A52">
      <w:pPr>
        <w:spacing w:after="120"/>
        <w:jc w:val="both"/>
        <w:rPr>
          <w:rFonts w:ascii="Tahoma" w:hAnsi="Tahoma" w:cs="Tahoma"/>
          <w:sz w:val="20"/>
        </w:rPr>
      </w:pPr>
      <w:r w:rsidRPr="002768C7">
        <w:rPr>
          <w:rFonts w:ascii="Tahoma" w:hAnsi="Tahoma" w:cs="Tahoma"/>
          <w:sz w:val="20"/>
        </w:rPr>
        <w:t xml:space="preserve">Iniciando pela análise da Zona do Euro, região que importou do Brasil, em 2018, até agosto, US$ 27,5 Bi, sendo nosso segundo maior parceiro comercial em volume de transações, com volume em US$ 51,3 Bi. O crescimento do PIB da região em 2017 foi de 2,4%. A previsão para crescimento, segundo relatório do FMI, em 2018, é de </w:t>
      </w:r>
      <w:r>
        <w:rPr>
          <w:rFonts w:ascii="Tahoma" w:hAnsi="Tahoma" w:cs="Tahoma"/>
          <w:sz w:val="20"/>
        </w:rPr>
        <w:t>2,2</w:t>
      </w:r>
      <w:r w:rsidRPr="002768C7">
        <w:rPr>
          <w:rFonts w:ascii="Tahoma" w:hAnsi="Tahoma" w:cs="Tahoma"/>
          <w:sz w:val="20"/>
        </w:rPr>
        <w:t>%. Já para 2019, a previsão é de nova desaceleração, para 1,9% de crescimento.</w:t>
      </w:r>
    </w:p>
    <w:p w:rsidR="00213A52" w:rsidRPr="002768C7" w:rsidRDefault="00213A52" w:rsidP="00213A52">
      <w:pPr>
        <w:spacing w:after="120"/>
        <w:jc w:val="both"/>
        <w:rPr>
          <w:rFonts w:ascii="Tahoma" w:hAnsi="Tahoma" w:cs="Tahoma"/>
          <w:sz w:val="20"/>
        </w:rPr>
      </w:pPr>
      <w:r w:rsidRPr="002768C7">
        <w:rPr>
          <w:rFonts w:ascii="Tahoma" w:hAnsi="Tahoma" w:cs="Tahoma"/>
          <w:sz w:val="20"/>
        </w:rPr>
        <w:t>A inflação anual está em 2,1%, um pouco acima das expectativas, devido principalmente ao aumento no custo da energia, mas também evidenciando o aumento do consumo na região. O desemprego em setembro está em 6,8%, caso o Reino Unido esteja incluído ou 7,1%, sem contar o Reino Unido. Saliento que no ano passado, no mesmo período, a taxa de desemprego estava em 9,1%. Isso mostra a recuperação gradual e constante da Região, compatível com o atual discurso do BCE (Banco Central Europeu) de gradualmente reduzir seu pacote de estímulos.</w:t>
      </w:r>
    </w:p>
    <w:p w:rsidR="00213A52" w:rsidRPr="002768C7" w:rsidRDefault="00213A52" w:rsidP="00213A52">
      <w:pPr>
        <w:spacing w:after="120"/>
        <w:jc w:val="both"/>
        <w:rPr>
          <w:rFonts w:ascii="Tahoma" w:hAnsi="Tahoma" w:cs="Tahoma"/>
          <w:sz w:val="20"/>
        </w:rPr>
      </w:pPr>
      <w:r w:rsidRPr="002768C7">
        <w:rPr>
          <w:rFonts w:ascii="Tahoma" w:hAnsi="Tahoma" w:cs="Tahoma"/>
          <w:sz w:val="20"/>
        </w:rPr>
        <w:t>Nos Estados Unidos, país que exportamos até agosto US$ 18,51 Bilhões, tornando-o o terceiro maior importador da nossa economia, com negócios atingindo US$ 37, 22 Bi, o PIB cresceu incríveis 4,2% na taxa anualizada, acima das expectativas de mercado que apontavam para 4,1%. O aumento do consumo das famílias foi o principal fator de impacto no PIB. A taxa de desemprego segue baixa, em 3,9% em agosto de 2018. Com o PIB em 4%, ou seja, acima da taxa de desemprego, já podemos falar em Pleno Emprego nos EUA.</w:t>
      </w:r>
    </w:p>
    <w:p w:rsidR="00213A52" w:rsidRPr="002768C7" w:rsidRDefault="00213A52" w:rsidP="00213A52">
      <w:pPr>
        <w:spacing w:after="120"/>
        <w:jc w:val="both"/>
        <w:rPr>
          <w:rFonts w:ascii="Tahoma" w:hAnsi="Tahoma" w:cs="Tahoma"/>
          <w:sz w:val="20"/>
        </w:rPr>
      </w:pPr>
      <w:r w:rsidRPr="002768C7">
        <w:rPr>
          <w:rFonts w:ascii="Tahoma" w:hAnsi="Tahoma" w:cs="Tahoma"/>
          <w:sz w:val="20"/>
        </w:rPr>
        <w:t>A inflação acumulada em 12 meses atingiu 2,70%, refletindo o aumento da demanda. Todos os dados estão em linha com a expectativa do FOMC (Banco Central dos EUA), devendo manter o plano de aumento da taxa de juro nos EUA, atualmente entre 1,75% e 2% a.a. para entre 3,25% e 3,5% a.a. no final de 2019. Ou seja, um aumento da remuneração do capital investido em Renda Fixa naquele país, atraindo os tão desejados dólares e gerando uma valorização da moeda mundo afora.</w:t>
      </w:r>
    </w:p>
    <w:p w:rsidR="00213A52" w:rsidRPr="00373011" w:rsidRDefault="00213A52" w:rsidP="00213A52">
      <w:pPr>
        <w:spacing w:after="120"/>
        <w:jc w:val="both"/>
        <w:rPr>
          <w:rFonts w:ascii="Tahoma" w:hAnsi="Tahoma" w:cs="Tahoma"/>
          <w:sz w:val="20"/>
        </w:rPr>
      </w:pPr>
      <w:r w:rsidRPr="002768C7">
        <w:rPr>
          <w:rFonts w:ascii="Tahoma" w:hAnsi="Tahoma" w:cs="Tahoma"/>
          <w:sz w:val="20"/>
        </w:rPr>
        <w:t>A China, nossa maior importadora, com saldo de US$ 42 bilhões até agosto e negócios que atingiram, no mesmo período, US$ 66,3 Bi. O PIB nos últimos 12 meses acumula alta de 6,70%, mantendo o crescimento de 2017, mas de uma maneira mais sustentável. A expectativa do FMI é que o PIB Chinês feche 2018 a 6,60% de crescimento e 2019 com 6,4% de alta. A inflação nos últimos 12 meses está 2,32%. O governo segue tomando medidas de forma a manter o nível de inflação relativamente baixo. A taxa de desemprego deve permanecer constante em 5%, o que significa pleno emprego naquele país. O relatório do FMI alerta para a necessidade de reformas fiscais e para o risco de um elevado endividamento no longo prazo.</w:t>
      </w:r>
      <w:r w:rsidRPr="00373011">
        <w:rPr>
          <w:rFonts w:ascii="Tahoma" w:hAnsi="Tahoma" w:cs="Tahoma"/>
          <w:sz w:val="20"/>
        </w:rPr>
        <w:t>.</w:t>
      </w:r>
    </w:p>
    <w:p w:rsidR="00213A52" w:rsidRPr="004606C2" w:rsidRDefault="00213A52" w:rsidP="00213A52">
      <w:pPr>
        <w:spacing w:after="120"/>
        <w:jc w:val="both"/>
        <w:rPr>
          <w:rFonts w:ascii="Tahoma" w:hAnsi="Tahoma" w:cs="Tahoma"/>
          <w:sz w:val="20"/>
        </w:rPr>
      </w:pPr>
      <w:r w:rsidRPr="00D63399">
        <w:rPr>
          <w:rFonts w:ascii="Tahoma" w:hAnsi="Tahoma" w:cs="Tahoma"/>
          <w:sz w:val="20"/>
        </w:rPr>
        <w:t>A economia brasileira vem convivendo com um processo de desvalorização do real.</w:t>
      </w:r>
      <w:r w:rsidRPr="004606C2">
        <w:rPr>
          <w:rFonts w:ascii="Tahoma" w:hAnsi="Tahoma" w:cs="Tahoma"/>
          <w:sz w:val="20"/>
        </w:rPr>
        <w:t>Um dos aspectos que tem alimentado um intenso debate acerca da economia brasileira diz respeito ao processo de queda do investimento nos últimos anos. Tal debate se insere na forma como a condução da política econômica no Brasil assumiu para o enfrentamento da crise internacional, a partir do último trimestre de 20</w:t>
      </w:r>
      <w:r>
        <w:rPr>
          <w:rFonts w:ascii="Tahoma" w:hAnsi="Tahoma" w:cs="Tahoma"/>
          <w:sz w:val="20"/>
        </w:rPr>
        <w:t>1</w:t>
      </w:r>
      <w:r w:rsidRPr="004606C2">
        <w:rPr>
          <w:rFonts w:ascii="Tahoma" w:hAnsi="Tahoma" w:cs="Tahoma"/>
          <w:sz w:val="20"/>
        </w:rPr>
        <w:t>8. Tal encaminhamento dos gestores de política econômica esteve na direção de um estímulo de demanda agregada bastante centrado no consumo. Neste sentido, este encaminhamento teria trazido algumas consequências do ponto de vista das respostas da oferta.</w:t>
      </w:r>
    </w:p>
    <w:p w:rsidR="00213A52" w:rsidRPr="004606C2" w:rsidRDefault="00213A52" w:rsidP="00213A52">
      <w:pPr>
        <w:spacing w:after="120"/>
        <w:jc w:val="both"/>
        <w:rPr>
          <w:rFonts w:ascii="Tahoma" w:hAnsi="Tahoma" w:cs="Tahoma"/>
          <w:sz w:val="20"/>
        </w:rPr>
      </w:pPr>
      <w:r w:rsidRPr="004606C2">
        <w:rPr>
          <w:rFonts w:ascii="Tahoma" w:hAnsi="Tahoma" w:cs="Tahoma"/>
          <w:sz w:val="20"/>
        </w:rPr>
        <w:t xml:space="preserve">Sem embargo, as respostas do lado de oferta podem ser segmentadas pela divisão entre comercializáveis e não comercializáveis. Marcadamente em relação ao setor de serviços - </w:t>
      </w:r>
      <w:r w:rsidRPr="004606C2">
        <w:rPr>
          <w:rFonts w:ascii="Tahoma" w:hAnsi="Tahoma" w:cs="Tahoma"/>
          <w:sz w:val="20"/>
        </w:rPr>
        <w:lastRenderedPageBreak/>
        <w:t>não comercializáveis - a resposta foi o aumento dos investimentos domésticos e seus efeitos sobre o aquecimento do mercado de trabalho. Em relação ao setor industrial - comercializável - dada a elevação do custo unitário do trabalho (reflexo do aquecimento no mercado de trabalho) e a convivência em um passado recente com uma relativa apreciação da taxa de câmbio, o que se verificou foi um ajuste de oferta através da ampliação do leque de importações, o que se refletiu em alguma medida com a perda da participação relativa dos investimentos industriais em nossa economia.</w:t>
      </w:r>
    </w:p>
    <w:p w:rsidR="00213A52" w:rsidRDefault="00213A52" w:rsidP="00213A52">
      <w:pPr>
        <w:spacing w:after="120"/>
        <w:jc w:val="both"/>
        <w:rPr>
          <w:rFonts w:ascii="Tahoma" w:hAnsi="Tahoma" w:cs="Tahoma"/>
          <w:sz w:val="20"/>
        </w:rPr>
      </w:pPr>
      <w:r w:rsidRPr="004606C2">
        <w:rPr>
          <w:rFonts w:ascii="Tahoma" w:hAnsi="Tahoma" w:cs="Tahoma"/>
          <w:sz w:val="20"/>
        </w:rPr>
        <w:t>Com efeito, as conseqüências de uma tentativa de superar as restrições impostas pela crise internacional com estímulos ao consumo em alguma medida determinaram limites para os investimentos industriais e um quadro mais instável para o comportamento da conta corrente do balanço de pagamentos.</w:t>
      </w:r>
    </w:p>
    <w:p w:rsidR="00213A52" w:rsidRPr="00D63399" w:rsidRDefault="00213A52" w:rsidP="00213A52">
      <w:pPr>
        <w:spacing w:after="120"/>
        <w:jc w:val="both"/>
        <w:rPr>
          <w:rFonts w:ascii="Tahoma" w:hAnsi="Tahoma" w:cs="Tahoma"/>
          <w:sz w:val="20"/>
        </w:rPr>
      </w:pPr>
      <w:r w:rsidRPr="004606C2">
        <w:rPr>
          <w:rFonts w:ascii="Tahoma" w:hAnsi="Tahoma" w:cs="Tahoma"/>
          <w:sz w:val="20"/>
        </w:rPr>
        <w:t>Com a depreciação do real, explicado em boa medida pela mudança do discurso do Banco Central americano, a trajetória da economia brasileira, pode apontar para uma importante mudança em seu regime de crescimento. Uma das consequências do processo de depreciação de nossa moeda será uma queda do salário real, marcadamente para aqueles que, em sua cesta de consumo, contam com bem comercializáveis. Deste pondo de vista é possível projetar uma possível queda no custo unitário do trabalho, se este processo se espraiar pelo mercado de trabalho.Outra consequência potencial é o efeito câmbio sobre a recuperação das exportações brasileiras, podendo, mesmo com as defasagens temporais conhecidas, encaminhar um movimento de melhora do desempenho da conta corrente do balanço de pagamentos, induzindo inclusive a retomada de investimentos voltados para o setor externo.</w:t>
      </w:r>
    </w:p>
    <w:p w:rsidR="00213A52" w:rsidRPr="00171269" w:rsidRDefault="00213A52" w:rsidP="00213A52">
      <w:pPr>
        <w:spacing w:after="120"/>
        <w:jc w:val="both"/>
        <w:rPr>
          <w:rFonts w:ascii="Tahoma" w:hAnsi="Tahoma" w:cs="Tahoma"/>
        </w:rPr>
      </w:pPr>
      <w:r w:rsidRPr="004606C2">
        <w:rPr>
          <w:noProof/>
        </w:rPr>
        <w:drawing>
          <wp:inline distT="0" distB="0" distL="0" distR="0">
            <wp:extent cx="4229100" cy="2063859"/>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8924" cy="2068653"/>
                    </a:xfrm>
                    <a:prstGeom prst="rect">
                      <a:avLst/>
                    </a:prstGeom>
                    <a:noFill/>
                    <a:ln>
                      <a:noFill/>
                    </a:ln>
                  </pic:spPr>
                </pic:pic>
              </a:graphicData>
            </a:graphic>
          </wp:inline>
        </w:drawing>
      </w:r>
    </w:p>
    <w:p w:rsidR="00213A52" w:rsidRPr="00171269" w:rsidRDefault="00213A52" w:rsidP="00213A52">
      <w:pPr>
        <w:spacing w:after="0" w:line="240" w:lineRule="auto"/>
        <w:rPr>
          <w:rFonts w:ascii="Tahoma" w:hAnsi="Tahoma" w:cs="Tahoma"/>
          <w:b/>
          <w:bCs/>
          <w:sz w:val="18"/>
          <w:szCs w:val="18"/>
        </w:rPr>
      </w:pPr>
      <w:r w:rsidRPr="00171269">
        <w:rPr>
          <w:rFonts w:ascii="Tahoma" w:hAnsi="Tahoma" w:cs="Tahoma"/>
          <w:b/>
          <w:bCs/>
          <w:sz w:val="18"/>
          <w:szCs w:val="18"/>
        </w:rPr>
        <w:t>Gráfico 2 Taxa de Câmbio (R$/US$)</w:t>
      </w:r>
    </w:p>
    <w:p w:rsidR="00213A52" w:rsidRPr="00171269" w:rsidRDefault="00213A52" w:rsidP="00213A52">
      <w:pPr>
        <w:spacing w:after="0" w:line="240" w:lineRule="auto"/>
        <w:jc w:val="both"/>
        <w:rPr>
          <w:rFonts w:ascii="Tahoma" w:hAnsi="Tahoma" w:cs="Tahoma"/>
          <w:sz w:val="16"/>
          <w:szCs w:val="18"/>
        </w:rPr>
      </w:pPr>
      <w:r w:rsidRPr="00171269">
        <w:rPr>
          <w:rFonts w:ascii="Tahoma" w:hAnsi="Tahoma" w:cs="Tahoma"/>
          <w:sz w:val="16"/>
          <w:szCs w:val="18"/>
        </w:rPr>
        <w:t>Fonte: BACEN.</w:t>
      </w:r>
    </w:p>
    <w:p w:rsidR="00213A52" w:rsidRPr="00171269" w:rsidRDefault="00213A52" w:rsidP="00213A52">
      <w:pPr>
        <w:spacing w:after="0" w:line="240" w:lineRule="auto"/>
        <w:rPr>
          <w:rFonts w:ascii="Tahoma" w:hAnsi="Tahoma" w:cs="Tahoma"/>
          <w:bCs/>
          <w:sz w:val="16"/>
          <w:szCs w:val="18"/>
        </w:rPr>
      </w:pPr>
      <w:r w:rsidRPr="00171269">
        <w:rPr>
          <w:rFonts w:ascii="Tahoma" w:hAnsi="Tahoma" w:cs="Tahoma"/>
          <w:bCs/>
          <w:sz w:val="16"/>
          <w:szCs w:val="18"/>
        </w:rPr>
        <w:t xml:space="preserve">Nota: Cotações até </w:t>
      </w:r>
      <w:r>
        <w:rPr>
          <w:rFonts w:ascii="Tahoma" w:hAnsi="Tahoma" w:cs="Tahoma"/>
          <w:bCs/>
          <w:sz w:val="16"/>
          <w:szCs w:val="18"/>
        </w:rPr>
        <w:t>29/08/2018</w:t>
      </w:r>
      <w:r w:rsidRPr="00171269">
        <w:rPr>
          <w:rFonts w:ascii="Tahoma" w:hAnsi="Tahoma" w:cs="Tahoma"/>
          <w:bCs/>
          <w:sz w:val="16"/>
          <w:szCs w:val="18"/>
        </w:rPr>
        <w:t>.</w:t>
      </w:r>
    </w:p>
    <w:p w:rsidR="00213A52" w:rsidRDefault="00213A52" w:rsidP="00213A52">
      <w:pPr>
        <w:spacing w:after="120"/>
        <w:jc w:val="both"/>
        <w:rPr>
          <w:rFonts w:ascii="Tahoma" w:hAnsi="Tahoma" w:cs="Tahoma"/>
          <w:sz w:val="20"/>
        </w:rPr>
      </w:pPr>
    </w:p>
    <w:p w:rsidR="00213A52" w:rsidRPr="00373011" w:rsidRDefault="00213A52" w:rsidP="00213A52">
      <w:pPr>
        <w:spacing w:after="120"/>
        <w:jc w:val="both"/>
        <w:rPr>
          <w:rFonts w:ascii="Tahoma" w:hAnsi="Tahoma" w:cs="Tahoma"/>
          <w:sz w:val="20"/>
        </w:rPr>
      </w:pPr>
      <w:r w:rsidRPr="00373011">
        <w:rPr>
          <w:rFonts w:ascii="Tahoma" w:hAnsi="Tahoma" w:cs="Tahoma"/>
          <w:sz w:val="20"/>
        </w:rPr>
        <w:t xml:space="preserve">Entre os meses de janeiro a </w:t>
      </w:r>
      <w:r>
        <w:rPr>
          <w:rFonts w:ascii="Tahoma" w:hAnsi="Tahoma" w:cs="Tahoma"/>
          <w:sz w:val="20"/>
        </w:rPr>
        <w:t>agosto</w:t>
      </w:r>
      <w:r w:rsidRPr="00373011">
        <w:rPr>
          <w:rFonts w:ascii="Tahoma" w:hAnsi="Tahoma" w:cs="Tahoma"/>
          <w:sz w:val="20"/>
        </w:rPr>
        <w:t xml:space="preserve">, o real registrou </w:t>
      </w:r>
      <w:r>
        <w:rPr>
          <w:rFonts w:ascii="Tahoma" w:hAnsi="Tahoma" w:cs="Tahoma"/>
          <w:sz w:val="20"/>
        </w:rPr>
        <w:t>des</w:t>
      </w:r>
      <w:r w:rsidRPr="00373011">
        <w:rPr>
          <w:rFonts w:ascii="Tahoma" w:hAnsi="Tahoma" w:cs="Tahoma"/>
          <w:sz w:val="20"/>
        </w:rPr>
        <w:t xml:space="preserve">valorização frente ao dólar </w:t>
      </w:r>
      <w:r>
        <w:rPr>
          <w:rFonts w:ascii="Tahoma" w:hAnsi="Tahoma" w:cs="Tahoma"/>
          <w:sz w:val="20"/>
        </w:rPr>
        <w:t>de 23,12%,</w:t>
      </w:r>
      <w:r w:rsidRPr="00373011">
        <w:rPr>
          <w:rFonts w:ascii="Tahoma" w:hAnsi="Tahoma" w:cs="Tahoma"/>
          <w:sz w:val="20"/>
        </w:rPr>
        <w:t xml:space="preserve"> com a cotação de venda da moeda americana </w:t>
      </w:r>
      <w:r>
        <w:rPr>
          <w:rFonts w:ascii="Tahoma" w:hAnsi="Tahoma" w:cs="Tahoma"/>
          <w:sz w:val="20"/>
        </w:rPr>
        <w:t>passando da casa dos</w:t>
      </w:r>
      <w:r w:rsidRPr="00373011">
        <w:rPr>
          <w:rFonts w:ascii="Tahoma" w:hAnsi="Tahoma" w:cs="Tahoma"/>
          <w:sz w:val="20"/>
        </w:rPr>
        <w:t xml:space="preserve"> R$ </w:t>
      </w:r>
      <w:r>
        <w:rPr>
          <w:rFonts w:ascii="Tahoma" w:hAnsi="Tahoma" w:cs="Tahoma"/>
          <w:sz w:val="20"/>
        </w:rPr>
        <w:t>4,10</w:t>
      </w:r>
      <w:r w:rsidRPr="00373011">
        <w:rPr>
          <w:rFonts w:ascii="Tahoma" w:hAnsi="Tahoma" w:cs="Tahoma"/>
          <w:sz w:val="20"/>
        </w:rPr>
        <w:t xml:space="preserve">.  </w:t>
      </w:r>
    </w:p>
    <w:p w:rsidR="00213A52" w:rsidRDefault="00213A52" w:rsidP="00213A52">
      <w:pPr>
        <w:pStyle w:val="Ttulo2"/>
        <w:rPr>
          <w:sz w:val="20"/>
        </w:rPr>
      </w:pPr>
      <w:bookmarkStart w:id="37" w:name="_Toc436040838"/>
    </w:p>
    <w:p w:rsidR="00213A52" w:rsidRDefault="00213A52" w:rsidP="00213A52"/>
    <w:p w:rsidR="00213A52" w:rsidRDefault="00213A52" w:rsidP="00213A52"/>
    <w:p w:rsidR="00213A52" w:rsidRPr="00213A52" w:rsidRDefault="00213A52" w:rsidP="00213A52"/>
    <w:p w:rsidR="00213A52" w:rsidRPr="00213A52" w:rsidRDefault="00213A52" w:rsidP="00213A52">
      <w:pPr>
        <w:pStyle w:val="Ttulo2"/>
        <w:rPr>
          <w:rFonts w:ascii="Tahoma" w:eastAsiaTheme="minorEastAsia" w:hAnsi="Tahoma" w:cs="Tahoma"/>
          <w:b/>
          <w:color w:val="auto"/>
          <w:sz w:val="20"/>
          <w:szCs w:val="22"/>
        </w:rPr>
      </w:pPr>
      <w:r w:rsidRPr="00213A52">
        <w:rPr>
          <w:rFonts w:ascii="Tahoma" w:eastAsiaTheme="minorEastAsia" w:hAnsi="Tahoma" w:cs="Tahoma"/>
          <w:b/>
          <w:color w:val="auto"/>
          <w:sz w:val="20"/>
          <w:szCs w:val="22"/>
        </w:rPr>
        <w:lastRenderedPageBreak/>
        <w:t>Taxa de Juros, Inflação e Política Monetária</w:t>
      </w:r>
      <w:bookmarkEnd w:id="37"/>
    </w:p>
    <w:p w:rsidR="00213A52" w:rsidRPr="00373011" w:rsidRDefault="00213A52" w:rsidP="00213A52">
      <w:pPr>
        <w:spacing w:after="120"/>
        <w:jc w:val="both"/>
        <w:rPr>
          <w:rFonts w:ascii="Tahoma" w:hAnsi="Tahoma" w:cs="Tahoma"/>
          <w:sz w:val="20"/>
        </w:rPr>
      </w:pPr>
    </w:p>
    <w:p w:rsidR="00213A52" w:rsidRDefault="00213A52" w:rsidP="00213A52">
      <w:pPr>
        <w:spacing w:after="120"/>
        <w:jc w:val="both"/>
        <w:rPr>
          <w:rFonts w:ascii="Tahoma" w:hAnsi="Tahoma" w:cs="Tahoma"/>
          <w:sz w:val="20"/>
        </w:rPr>
      </w:pPr>
      <w:r>
        <w:rPr>
          <w:rFonts w:ascii="Tahoma" w:hAnsi="Tahoma" w:cs="Tahoma"/>
          <w:sz w:val="20"/>
        </w:rPr>
        <w:t>No final de 2017 as projeções do mercado indicavam que o ano de 2018 seria marcado por uma continuidade da taxa Selic, com a última pequisa Focus publicada naquele ano estimando uma taxa de 6,75% para o encerramento do exercício. Entretanto, no decorrer do exercício tivemos apenas uma redução, levando os juros ao patamar histórico de 6,50%, nas reuniões posteriores a taxa foi mantida, pois o balanço de risco à inflação é compatível para a convergência da inflação para a meta. Neste contexto, o mercado, conforme o último boletim Focus, prevê a manutenção da Selic para o corrente ano. Já para o ano de 2019 o mercado esta prevendo que a taxa de juros suba para 8,00% a.a., ou seja, 150 pontos bases</w:t>
      </w:r>
      <w:r w:rsidRPr="004606C2">
        <w:rPr>
          <w:rFonts w:ascii="Tahoma" w:hAnsi="Tahoma" w:cs="Tahoma"/>
          <w:sz w:val="20"/>
        </w:rPr>
        <w:t>.</w:t>
      </w:r>
    </w:p>
    <w:p w:rsidR="00213A52" w:rsidRPr="005E6C10" w:rsidRDefault="00213A52" w:rsidP="00213A52">
      <w:pPr>
        <w:spacing w:after="120"/>
        <w:jc w:val="both"/>
        <w:rPr>
          <w:rFonts w:ascii="Tahoma" w:hAnsi="Tahoma" w:cs="Tahoma"/>
          <w:sz w:val="20"/>
        </w:rPr>
      </w:pPr>
      <w:r w:rsidRPr="005E6C10">
        <w:rPr>
          <w:rFonts w:ascii="Tahoma" w:hAnsi="Tahoma" w:cs="Tahoma"/>
          <w:sz w:val="20"/>
        </w:rPr>
        <w:t>Com a conjuntura atual nacional de alto endividamento e média capacidade de estar pagando os juros da dívida, uma vez que seguimos gastando mais do que arrecadamos, aliado a um cenário externo de elevação de taxa de juro básica, podemos dizer com segurança que a taxa Selic deve aumentar, sob o risco do dólar superar o valor de R$ 5,00</w:t>
      </w:r>
      <w:r>
        <w:rPr>
          <w:rFonts w:ascii="Tahoma" w:hAnsi="Tahoma" w:cs="Tahoma"/>
          <w:sz w:val="20"/>
        </w:rPr>
        <w:t>, risco politico,</w:t>
      </w:r>
      <w:r w:rsidRPr="005E6C10">
        <w:rPr>
          <w:rFonts w:ascii="Tahoma" w:hAnsi="Tahoma" w:cs="Tahoma"/>
          <w:sz w:val="20"/>
        </w:rPr>
        <w:t xml:space="preserve"> nos próximos meses e termos uma perda significativa no poder de compra do Real.</w:t>
      </w:r>
    </w:p>
    <w:p w:rsidR="00213A52" w:rsidRPr="005E6C10" w:rsidRDefault="00213A52" w:rsidP="00213A52">
      <w:pPr>
        <w:spacing w:after="120"/>
        <w:jc w:val="both"/>
        <w:rPr>
          <w:rFonts w:ascii="Tahoma" w:hAnsi="Tahoma" w:cs="Tahoma"/>
          <w:sz w:val="20"/>
        </w:rPr>
      </w:pPr>
      <w:r w:rsidRPr="005E6C10">
        <w:rPr>
          <w:rFonts w:ascii="Tahoma" w:hAnsi="Tahoma" w:cs="Tahoma"/>
          <w:sz w:val="20"/>
        </w:rPr>
        <w:t>Para os investimentos, no curto prazo, este aumento pode ser negativo, uma vez que os fundos com componentes pré-fixados tendem a ter rentabilidade negativa. Mas no longo prazo, uma elevação de Selic irá facilitar o atingimento da meta atuarial, provavelmente para 2020.</w:t>
      </w:r>
    </w:p>
    <w:p w:rsidR="00213A52" w:rsidRPr="005E6C10" w:rsidRDefault="00213A52" w:rsidP="00213A52">
      <w:pPr>
        <w:spacing w:after="120"/>
        <w:jc w:val="both"/>
        <w:rPr>
          <w:rFonts w:ascii="Tahoma" w:hAnsi="Tahoma" w:cs="Tahoma"/>
          <w:sz w:val="20"/>
        </w:rPr>
      </w:pPr>
      <w:r w:rsidRPr="005E6C10">
        <w:rPr>
          <w:rFonts w:ascii="Tahoma" w:hAnsi="Tahoma" w:cs="Tahoma"/>
          <w:sz w:val="20"/>
        </w:rPr>
        <w:t>Para a economia, uma alta de Selic irá restringir ainda mais o crédito e aumentar a falta de confiança do empresário, o que fará com que o desemprego siga elevado e o consumo e o PIB baixos, facilitando o controle da inflação por parte do governo, além de ajudar no controle do dólar.</w:t>
      </w:r>
    </w:p>
    <w:p w:rsidR="00213A52" w:rsidRDefault="00213A52" w:rsidP="00213A52">
      <w:pPr>
        <w:spacing w:after="120"/>
        <w:jc w:val="both"/>
        <w:rPr>
          <w:rFonts w:ascii="Tahoma" w:hAnsi="Tahoma" w:cs="Tahoma"/>
          <w:sz w:val="20"/>
        </w:rPr>
      </w:pPr>
      <w:r w:rsidRPr="005E6C10">
        <w:rPr>
          <w:rFonts w:ascii="Tahoma" w:hAnsi="Tahoma" w:cs="Tahoma"/>
          <w:sz w:val="20"/>
        </w:rPr>
        <w:t>Outro efeito negativo do aumento da Selic será o aumento dos juros pagos pelo Brasil nos títulos públicos federais, aumentando consequentemente o endividamento do país. Por consequência, teremos que criar mecanismos que aumentem a arrecadação e diminuam os gastos públicos, mas sem que isso atrapalhe a produção já baixa.</w:t>
      </w:r>
    </w:p>
    <w:p w:rsidR="00213A52" w:rsidRPr="00171269" w:rsidRDefault="00213A52" w:rsidP="00213A52">
      <w:pPr>
        <w:spacing w:after="120"/>
        <w:jc w:val="center"/>
        <w:rPr>
          <w:rFonts w:ascii="Tahoma" w:hAnsi="Tahoma" w:cs="Tahoma"/>
        </w:rPr>
      </w:pPr>
      <w:r w:rsidRPr="005E6C10">
        <w:rPr>
          <w:noProof/>
        </w:rPr>
        <w:drawing>
          <wp:inline distT="0" distB="0" distL="0" distR="0">
            <wp:extent cx="4774399" cy="1885950"/>
            <wp:effectExtent l="0" t="0" r="762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95380" cy="1894238"/>
                    </a:xfrm>
                    <a:prstGeom prst="rect">
                      <a:avLst/>
                    </a:prstGeom>
                    <a:noFill/>
                    <a:ln>
                      <a:noFill/>
                    </a:ln>
                  </pic:spPr>
                </pic:pic>
              </a:graphicData>
            </a:graphic>
          </wp:inline>
        </w:drawing>
      </w:r>
    </w:p>
    <w:p w:rsidR="00213A52" w:rsidRPr="00171269" w:rsidRDefault="00213A52" w:rsidP="00213A52">
      <w:pPr>
        <w:spacing w:after="0" w:line="240" w:lineRule="auto"/>
        <w:rPr>
          <w:rFonts w:ascii="Tahoma" w:hAnsi="Tahoma" w:cs="Tahoma"/>
          <w:sz w:val="18"/>
          <w:szCs w:val="18"/>
        </w:rPr>
      </w:pPr>
      <w:r w:rsidRPr="00171269">
        <w:rPr>
          <w:rFonts w:ascii="Tahoma" w:hAnsi="Tahoma" w:cs="Tahoma"/>
          <w:b/>
          <w:bCs/>
          <w:sz w:val="18"/>
          <w:szCs w:val="18"/>
        </w:rPr>
        <w:t>Gráfico 3 – Evolução da Taxa Selic (%)</w:t>
      </w:r>
    </w:p>
    <w:p w:rsidR="00213A52" w:rsidRPr="00171269" w:rsidRDefault="00213A52" w:rsidP="00213A52">
      <w:pPr>
        <w:spacing w:after="0" w:line="240" w:lineRule="auto"/>
        <w:rPr>
          <w:rFonts w:ascii="Tahoma" w:hAnsi="Tahoma" w:cs="Tahoma"/>
          <w:sz w:val="16"/>
          <w:szCs w:val="18"/>
        </w:rPr>
      </w:pPr>
      <w:r w:rsidRPr="00171269">
        <w:rPr>
          <w:rFonts w:ascii="Tahoma" w:hAnsi="Tahoma" w:cs="Tahoma"/>
          <w:sz w:val="16"/>
          <w:szCs w:val="18"/>
        </w:rPr>
        <w:t>Fonte: BACEN.</w:t>
      </w:r>
    </w:p>
    <w:p w:rsidR="00213A52" w:rsidRPr="00171269" w:rsidRDefault="00213A52" w:rsidP="00213A52">
      <w:pPr>
        <w:spacing w:after="0" w:line="240" w:lineRule="auto"/>
        <w:rPr>
          <w:rFonts w:ascii="Tahoma" w:hAnsi="Tahoma" w:cs="Tahoma"/>
          <w:sz w:val="16"/>
          <w:szCs w:val="18"/>
        </w:rPr>
      </w:pPr>
      <w:r w:rsidRPr="00171269">
        <w:rPr>
          <w:rFonts w:ascii="Tahoma" w:hAnsi="Tahoma" w:cs="Tahoma"/>
          <w:sz w:val="16"/>
          <w:szCs w:val="18"/>
        </w:rPr>
        <w:t>NOTA: Dados até a última reunião do COPOM.</w:t>
      </w:r>
    </w:p>
    <w:p w:rsidR="00213A52" w:rsidRDefault="00213A52" w:rsidP="00213A52">
      <w:pPr>
        <w:spacing w:after="0" w:line="240" w:lineRule="auto"/>
        <w:rPr>
          <w:rFonts w:ascii="Tahoma" w:hAnsi="Tahoma" w:cs="Tahoma"/>
          <w:sz w:val="16"/>
          <w:szCs w:val="18"/>
        </w:rPr>
      </w:pPr>
    </w:p>
    <w:p w:rsidR="00213A52" w:rsidRDefault="00213A52" w:rsidP="00213A52">
      <w:pPr>
        <w:spacing w:after="0" w:line="240" w:lineRule="auto"/>
        <w:rPr>
          <w:rFonts w:ascii="Tahoma" w:hAnsi="Tahoma" w:cs="Tahoma"/>
          <w:sz w:val="16"/>
          <w:szCs w:val="18"/>
        </w:rPr>
      </w:pPr>
    </w:p>
    <w:p w:rsidR="00213A52" w:rsidRDefault="00213A52" w:rsidP="00213A52">
      <w:pPr>
        <w:spacing w:after="120"/>
        <w:jc w:val="both"/>
        <w:rPr>
          <w:rFonts w:ascii="Tahoma" w:hAnsi="Tahoma" w:cs="Tahoma"/>
          <w:sz w:val="20"/>
        </w:rPr>
      </w:pPr>
      <w:r w:rsidRPr="000026C8">
        <w:rPr>
          <w:rFonts w:ascii="Tahoma" w:hAnsi="Tahoma" w:cs="Tahoma"/>
          <w:sz w:val="20"/>
        </w:rPr>
        <w:t xml:space="preserve">Sobre a inflação, as projeções da Pesquisa Focus têm indicado </w:t>
      </w:r>
      <w:r>
        <w:rPr>
          <w:rFonts w:ascii="Tahoma" w:hAnsi="Tahoma" w:cs="Tahoma"/>
          <w:sz w:val="20"/>
        </w:rPr>
        <w:t>um controle</w:t>
      </w:r>
      <w:r w:rsidRPr="000026C8">
        <w:rPr>
          <w:rFonts w:ascii="Tahoma" w:hAnsi="Tahoma" w:cs="Tahoma"/>
          <w:sz w:val="20"/>
        </w:rPr>
        <w:t xml:space="preserve"> do IPCA, com o indicador situando-se abaixo do centro da meta (4,5%) tanto em 2018 como em 2019. </w:t>
      </w:r>
    </w:p>
    <w:p w:rsidR="00213A52" w:rsidRPr="000026C8" w:rsidRDefault="00213A52" w:rsidP="00213A52">
      <w:pPr>
        <w:spacing w:after="120"/>
        <w:jc w:val="both"/>
        <w:rPr>
          <w:rFonts w:ascii="Tahoma" w:hAnsi="Tahoma" w:cs="Tahoma"/>
          <w:sz w:val="20"/>
        </w:rPr>
      </w:pPr>
    </w:p>
    <w:p w:rsidR="00213A52" w:rsidRPr="00171269" w:rsidRDefault="00213A52" w:rsidP="00213A52">
      <w:pPr>
        <w:spacing w:after="120"/>
        <w:jc w:val="center"/>
        <w:rPr>
          <w:rFonts w:ascii="Tahoma" w:hAnsi="Tahoma" w:cs="Tahoma"/>
        </w:rPr>
      </w:pPr>
      <w:r w:rsidRPr="00BC6478">
        <w:rPr>
          <w:noProof/>
        </w:rPr>
        <w:drawing>
          <wp:inline distT="0" distB="0" distL="0" distR="0">
            <wp:extent cx="4219575" cy="1889264"/>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28186" cy="1893119"/>
                    </a:xfrm>
                    <a:prstGeom prst="rect">
                      <a:avLst/>
                    </a:prstGeom>
                    <a:noFill/>
                    <a:ln>
                      <a:noFill/>
                    </a:ln>
                  </pic:spPr>
                </pic:pic>
              </a:graphicData>
            </a:graphic>
          </wp:inline>
        </w:drawing>
      </w:r>
    </w:p>
    <w:p w:rsidR="00213A52" w:rsidRPr="00171269" w:rsidRDefault="00213A52" w:rsidP="00213A52">
      <w:pPr>
        <w:spacing w:after="0" w:line="240" w:lineRule="auto"/>
        <w:jc w:val="both"/>
        <w:rPr>
          <w:rFonts w:ascii="Tahoma" w:hAnsi="Tahoma" w:cs="Tahoma"/>
          <w:b/>
          <w:bCs/>
          <w:sz w:val="18"/>
          <w:szCs w:val="18"/>
        </w:rPr>
      </w:pPr>
      <w:r w:rsidRPr="00171269">
        <w:rPr>
          <w:rFonts w:ascii="Tahoma" w:hAnsi="Tahoma" w:cs="Tahoma"/>
          <w:b/>
          <w:bCs/>
          <w:sz w:val="18"/>
          <w:szCs w:val="18"/>
        </w:rPr>
        <w:t>Gráfico 4 - Série Histórica IPCA Anual (%)</w:t>
      </w:r>
    </w:p>
    <w:p w:rsidR="00213A52" w:rsidRPr="00171269" w:rsidRDefault="00213A52" w:rsidP="00213A52">
      <w:pPr>
        <w:spacing w:after="0" w:line="240" w:lineRule="auto"/>
        <w:jc w:val="both"/>
        <w:rPr>
          <w:rFonts w:ascii="Tahoma" w:hAnsi="Tahoma" w:cs="Tahoma"/>
          <w:sz w:val="16"/>
          <w:szCs w:val="18"/>
        </w:rPr>
      </w:pPr>
      <w:r w:rsidRPr="00171269">
        <w:rPr>
          <w:rFonts w:ascii="Tahoma" w:hAnsi="Tahoma" w:cs="Tahoma"/>
          <w:sz w:val="16"/>
          <w:szCs w:val="18"/>
        </w:rPr>
        <w:t>Fonte: IBGE.</w:t>
      </w:r>
    </w:p>
    <w:p w:rsidR="00213A52" w:rsidRPr="00171269" w:rsidRDefault="00213A52" w:rsidP="00213A52">
      <w:pPr>
        <w:spacing w:after="0" w:line="240" w:lineRule="auto"/>
        <w:rPr>
          <w:rFonts w:ascii="Tahoma" w:hAnsi="Tahoma" w:cs="Tahoma"/>
          <w:sz w:val="16"/>
          <w:szCs w:val="18"/>
        </w:rPr>
      </w:pPr>
      <w:r w:rsidRPr="00171269">
        <w:rPr>
          <w:rFonts w:ascii="Tahoma" w:hAnsi="Tahoma" w:cs="Tahoma"/>
          <w:sz w:val="16"/>
          <w:szCs w:val="18"/>
        </w:rPr>
        <w:t xml:space="preserve">Nota: Dados até </w:t>
      </w:r>
      <w:r>
        <w:rPr>
          <w:rFonts w:ascii="Tahoma" w:hAnsi="Tahoma" w:cs="Tahoma"/>
          <w:sz w:val="16"/>
          <w:szCs w:val="18"/>
        </w:rPr>
        <w:t>agosto</w:t>
      </w:r>
      <w:r w:rsidRPr="00171269">
        <w:rPr>
          <w:rFonts w:ascii="Tahoma" w:hAnsi="Tahoma" w:cs="Tahoma"/>
          <w:sz w:val="16"/>
          <w:szCs w:val="18"/>
        </w:rPr>
        <w:t xml:space="preserve"> de 201</w:t>
      </w:r>
      <w:r>
        <w:rPr>
          <w:rFonts w:ascii="Tahoma" w:hAnsi="Tahoma" w:cs="Tahoma"/>
          <w:sz w:val="16"/>
          <w:szCs w:val="18"/>
        </w:rPr>
        <w:t>8</w:t>
      </w:r>
      <w:r w:rsidRPr="00171269">
        <w:rPr>
          <w:rFonts w:ascii="Tahoma" w:hAnsi="Tahoma" w:cs="Tahoma"/>
          <w:sz w:val="16"/>
          <w:szCs w:val="18"/>
        </w:rPr>
        <w:t>.</w:t>
      </w:r>
    </w:p>
    <w:p w:rsidR="00213A52" w:rsidRDefault="00213A52" w:rsidP="00213A52">
      <w:pPr>
        <w:spacing w:after="120"/>
        <w:jc w:val="both"/>
        <w:rPr>
          <w:rFonts w:ascii="Tahoma" w:hAnsi="Tahoma" w:cs="Tahoma"/>
        </w:rPr>
      </w:pPr>
    </w:p>
    <w:p w:rsidR="00213A52" w:rsidRPr="00171269" w:rsidRDefault="00213A52" w:rsidP="00213A52">
      <w:pPr>
        <w:spacing w:after="120"/>
        <w:jc w:val="both"/>
        <w:rPr>
          <w:rFonts w:ascii="Tahoma" w:hAnsi="Tahoma" w:cs="Tahoma"/>
        </w:rPr>
      </w:pPr>
    </w:p>
    <w:p w:rsidR="00213A52" w:rsidRPr="00213A52" w:rsidRDefault="00213A52" w:rsidP="00213A52">
      <w:pPr>
        <w:pStyle w:val="Ttulo2"/>
        <w:rPr>
          <w:rFonts w:ascii="Tahoma" w:eastAsiaTheme="minorEastAsia" w:hAnsi="Tahoma" w:cs="Tahoma"/>
          <w:b/>
          <w:color w:val="auto"/>
          <w:sz w:val="20"/>
          <w:szCs w:val="22"/>
        </w:rPr>
      </w:pPr>
      <w:bookmarkStart w:id="38" w:name="_Toc436040839"/>
      <w:r w:rsidRPr="00213A52">
        <w:rPr>
          <w:rFonts w:ascii="Tahoma" w:eastAsiaTheme="minorEastAsia" w:hAnsi="Tahoma" w:cs="Tahoma"/>
          <w:b/>
          <w:color w:val="auto"/>
          <w:sz w:val="20"/>
          <w:szCs w:val="22"/>
        </w:rPr>
        <w:t>Atividade Econômica e Produto Interno Bruto</w:t>
      </w:r>
      <w:bookmarkEnd w:id="38"/>
    </w:p>
    <w:p w:rsidR="00213A52" w:rsidRPr="00D96C00" w:rsidRDefault="00213A52" w:rsidP="00213A52"/>
    <w:p w:rsidR="00213A52" w:rsidRPr="00373011" w:rsidRDefault="00213A52" w:rsidP="00213A52">
      <w:pPr>
        <w:spacing w:after="120"/>
        <w:jc w:val="both"/>
        <w:rPr>
          <w:rFonts w:ascii="Tahoma" w:hAnsi="Tahoma" w:cs="Tahoma"/>
          <w:sz w:val="20"/>
        </w:rPr>
      </w:pPr>
      <w:r w:rsidRPr="00373011">
        <w:rPr>
          <w:rFonts w:ascii="Tahoma" w:hAnsi="Tahoma" w:cs="Tahoma"/>
          <w:sz w:val="20"/>
        </w:rPr>
        <w:t>Depois de dois anos consecutivos registrando retração da atividade econômica,</w:t>
      </w:r>
      <w:r>
        <w:rPr>
          <w:rFonts w:ascii="Tahoma" w:hAnsi="Tahoma" w:cs="Tahoma"/>
          <w:sz w:val="20"/>
        </w:rPr>
        <w:t xml:space="preserve"> 2015 e 2016, o ano de 2017 saímos da recessão, registrando um PIB positivo de 1%, puxado pela agropecuária. A projeção para 2018 está sendo reduzida semana após semana, se encontrando na casa de 1,36% e para o ano de 2019 a projeção está em 2,50%, conforme dados do Banco Central, Boletim Focus, semana do dia 17 de setembro</w:t>
      </w:r>
      <w:r w:rsidRPr="00373011">
        <w:rPr>
          <w:rFonts w:ascii="Tahoma" w:hAnsi="Tahoma" w:cs="Tahoma"/>
          <w:sz w:val="20"/>
        </w:rPr>
        <w:t>.</w:t>
      </w:r>
    </w:p>
    <w:p w:rsidR="00213A52" w:rsidRPr="00BC6478" w:rsidRDefault="00213A52" w:rsidP="00213A52">
      <w:pPr>
        <w:spacing w:after="240"/>
        <w:jc w:val="both"/>
        <w:rPr>
          <w:rFonts w:ascii="Tahoma" w:hAnsi="Tahoma" w:cs="Tahoma"/>
          <w:sz w:val="20"/>
        </w:rPr>
      </w:pPr>
      <w:r w:rsidRPr="00BC6478">
        <w:rPr>
          <w:rFonts w:ascii="Tahoma" w:hAnsi="Tahoma" w:cs="Tahoma"/>
          <w:sz w:val="20"/>
        </w:rPr>
        <w:t>O atual governo assumiu com o discurso de corte de despesas e congelamento dos gastos. Apesar de ter sido esta a ideia original, na realidade isto não se constatou. O governo aumentou despesas e não conseguiu, ao longo de 2018, realizar reformas que viabilizassem a máquina pública. A falta de governabilidade que tínhamos com Dilma, foi assumida por Temer. Nada se produziu no congresso nacional que pudesse resultar em melhora fiscal para o país. A arrecadação foi feita, em sua grande maioria, por receitas extraordinárias. O que precisamos é de receita recorrente.</w:t>
      </w:r>
    </w:p>
    <w:p w:rsidR="00213A52" w:rsidRDefault="00213A52" w:rsidP="00213A52">
      <w:pPr>
        <w:spacing w:after="240"/>
        <w:jc w:val="both"/>
        <w:rPr>
          <w:rFonts w:ascii="Tahoma" w:hAnsi="Tahoma" w:cs="Tahoma"/>
          <w:sz w:val="20"/>
        </w:rPr>
      </w:pPr>
      <w:r w:rsidRPr="00BC6478">
        <w:rPr>
          <w:rFonts w:ascii="Tahoma" w:hAnsi="Tahoma" w:cs="Tahoma"/>
          <w:sz w:val="20"/>
        </w:rPr>
        <w:t>Em 2017, atingimos o pico de desemprego no Brasil desde o início da série histórica, chegando a 14 milhões de desempregados ou 13,7% da população, segundo a Pnad Contínua, no trimestre que se encerrou em março. Desde lá, o desemprego tem recuado, chegando a 12,3% no trimestre encerrado em julho de 2018, com aproximadamente 13 milhões de desempregados. Mas isto não significa que a situação tem melhorado, uma vez que temos uma população de desalentados atingindo a máxima história, próximo de 5 milhões de pessoas que desistiram de procurar emprego e que não entram na estatística dos desempregados.</w:t>
      </w:r>
    </w:p>
    <w:p w:rsidR="00213A52" w:rsidRPr="00373011" w:rsidRDefault="00213A52" w:rsidP="00213A52">
      <w:pPr>
        <w:spacing w:after="240"/>
        <w:jc w:val="both"/>
        <w:rPr>
          <w:rFonts w:ascii="Tahoma" w:hAnsi="Tahoma" w:cs="Tahoma"/>
          <w:sz w:val="20"/>
        </w:rPr>
      </w:pPr>
    </w:p>
    <w:p w:rsidR="00213A52" w:rsidRPr="00171269" w:rsidRDefault="00213A52" w:rsidP="00213A52">
      <w:pPr>
        <w:spacing w:after="120"/>
        <w:jc w:val="both"/>
        <w:rPr>
          <w:rFonts w:ascii="Tahoma" w:hAnsi="Tahoma" w:cs="Tahoma"/>
        </w:rPr>
      </w:pPr>
      <w:r w:rsidRPr="00BC6478">
        <w:rPr>
          <w:noProof/>
        </w:rPr>
        <w:lastRenderedPageBreak/>
        <w:drawing>
          <wp:inline distT="0" distB="0" distL="0" distR="0">
            <wp:extent cx="4362450" cy="1971690"/>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67326" cy="1973894"/>
                    </a:xfrm>
                    <a:prstGeom prst="rect">
                      <a:avLst/>
                    </a:prstGeom>
                    <a:noFill/>
                    <a:ln>
                      <a:noFill/>
                    </a:ln>
                  </pic:spPr>
                </pic:pic>
              </a:graphicData>
            </a:graphic>
          </wp:inline>
        </w:drawing>
      </w:r>
    </w:p>
    <w:p w:rsidR="00213A52" w:rsidRPr="00171269" w:rsidRDefault="00213A52" w:rsidP="00213A52">
      <w:pPr>
        <w:spacing w:after="0" w:line="240" w:lineRule="auto"/>
        <w:jc w:val="both"/>
        <w:rPr>
          <w:rFonts w:ascii="Tahoma" w:hAnsi="Tahoma" w:cs="Tahoma"/>
          <w:b/>
          <w:bCs/>
          <w:sz w:val="18"/>
          <w:szCs w:val="18"/>
        </w:rPr>
      </w:pPr>
      <w:r w:rsidRPr="00171269">
        <w:rPr>
          <w:rFonts w:ascii="Tahoma" w:hAnsi="Tahoma" w:cs="Tahoma"/>
          <w:b/>
          <w:bCs/>
          <w:sz w:val="18"/>
          <w:szCs w:val="18"/>
        </w:rPr>
        <w:t>Gráfico 5 - Série Histórica a preços de mercado PIB (%)</w:t>
      </w:r>
    </w:p>
    <w:p w:rsidR="00213A52" w:rsidRPr="00171269" w:rsidRDefault="00213A52" w:rsidP="00213A52">
      <w:pPr>
        <w:spacing w:after="0" w:line="240" w:lineRule="auto"/>
        <w:jc w:val="both"/>
        <w:rPr>
          <w:rFonts w:ascii="Tahoma" w:hAnsi="Tahoma" w:cs="Tahoma"/>
          <w:sz w:val="16"/>
          <w:szCs w:val="18"/>
        </w:rPr>
      </w:pPr>
      <w:r w:rsidRPr="00171269">
        <w:rPr>
          <w:rFonts w:ascii="Tahoma" w:hAnsi="Tahoma" w:cs="Tahoma"/>
          <w:sz w:val="16"/>
          <w:szCs w:val="18"/>
        </w:rPr>
        <w:t>Fonte: IBGE.</w:t>
      </w:r>
    </w:p>
    <w:p w:rsidR="00213A52" w:rsidRPr="00171269" w:rsidRDefault="00213A52" w:rsidP="00213A52">
      <w:pPr>
        <w:spacing w:after="0" w:line="240" w:lineRule="auto"/>
        <w:jc w:val="both"/>
        <w:rPr>
          <w:rFonts w:ascii="Tahoma" w:hAnsi="Tahoma" w:cs="Tahoma"/>
          <w:sz w:val="16"/>
          <w:szCs w:val="18"/>
        </w:rPr>
      </w:pPr>
      <w:r w:rsidRPr="00171269">
        <w:rPr>
          <w:rFonts w:ascii="Tahoma" w:hAnsi="Tahoma" w:cs="Tahoma"/>
          <w:sz w:val="16"/>
          <w:szCs w:val="18"/>
        </w:rPr>
        <w:t xml:space="preserve">(*) Projeções da Pesquisa Focus de </w:t>
      </w:r>
      <w:r>
        <w:rPr>
          <w:rFonts w:ascii="Tahoma" w:hAnsi="Tahoma" w:cs="Tahoma"/>
          <w:sz w:val="16"/>
          <w:szCs w:val="18"/>
        </w:rPr>
        <w:t>29</w:t>
      </w:r>
      <w:r w:rsidRPr="00171269">
        <w:rPr>
          <w:rFonts w:ascii="Tahoma" w:hAnsi="Tahoma" w:cs="Tahoma"/>
          <w:sz w:val="16"/>
          <w:szCs w:val="18"/>
        </w:rPr>
        <w:t xml:space="preserve"> de </w:t>
      </w:r>
      <w:r>
        <w:rPr>
          <w:rFonts w:ascii="Tahoma" w:hAnsi="Tahoma" w:cs="Tahoma"/>
          <w:sz w:val="16"/>
          <w:szCs w:val="18"/>
        </w:rPr>
        <w:t>agosto</w:t>
      </w:r>
      <w:r w:rsidRPr="00171269">
        <w:rPr>
          <w:rFonts w:ascii="Tahoma" w:hAnsi="Tahoma" w:cs="Tahoma"/>
          <w:sz w:val="16"/>
          <w:szCs w:val="18"/>
        </w:rPr>
        <w:t xml:space="preserve"> de 201</w:t>
      </w:r>
      <w:r>
        <w:rPr>
          <w:rFonts w:ascii="Tahoma" w:hAnsi="Tahoma" w:cs="Tahoma"/>
          <w:sz w:val="16"/>
          <w:szCs w:val="18"/>
        </w:rPr>
        <w:t>8</w:t>
      </w:r>
      <w:r w:rsidRPr="00171269">
        <w:rPr>
          <w:rFonts w:ascii="Tahoma" w:hAnsi="Tahoma" w:cs="Tahoma"/>
          <w:sz w:val="16"/>
          <w:szCs w:val="18"/>
        </w:rPr>
        <w:t>.</w:t>
      </w:r>
    </w:p>
    <w:p w:rsidR="00213A52" w:rsidRPr="00171269" w:rsidRDefault="00213A52" w:rsidP="00213A52">
      <w:pPr>
        <w:spacing w:after="120"/>
        <w:jc w:val="both"/>
        <w:rPr>
          <w:rFonts w:ascii="Tahoma" w:hAnsi="Tahoma" w:cs="Tahoma"/>
        </w:rPr>
      </w:pPr>
    </w:p>
    <w:p w:rsidR="00213A52" w:rsidRPr="00373011" w:rsidRDefault="00213A52" w:rsidP="00213A52">
      <w:pPr>
        <w:spacing w:after="120"/>
        <w:jc w:val="both"/>
        <w:rPr>
          <w:rFonts w:ascii="Tahoma" w:hAnsi="Tahoma" w:cs="Tahoma"/>
          <w:sz w:val="20"/>
        </w:rPr>
      </w:pPr>
    </w:p>
    <w:p w:rsidR="00213A52" w:rsidRPr="00373011" w:rsidRDefault="00213A52" w:rsidP="00213A52">
      <w:pPr>
        <w:spacing w:after="120"/>
        <w:jc w:val="both"/>
        <w:rPr>
          <w:rFonts w:ascii="Tahoma" w:hAnsi="Tahoma" w:cs="Tahoma"/>
          <w:sz w:val="20"/>
        </w:rPr>
      </w:pPr>
    </w:p>
    <w:p w:rsidR="00213A52" w:rsidRPr="00373011" w:rsidRDefault="00213A52" w:rsidP="00213A52">
      <w:pPr>
        <w:rPr>
          <w:rFonts w:ascii="Tahoma" w:hAnsi="Tahoma" w:cs="Tahoma"/>
          <w:b/>
          <w:color w:val="17365D" w:themeColor="text2" w:themeShade="BF"/>
          <w:sz w:val="20"/>
        </w:rPr>
      </w:pPr>
      <w:r w:rsidRPr="00373011">
        <w:rPr>
          <w:rFonts w:ascii="Tahoma" w:hAnsi="Tahoma" w:cs="Tahoma"/>
          <w:b/>
          <w:color w:val="17365D" w:themeColor="text2" w:themeShade="BF"/>
          <w:sz w:val="20"/>
        </w:rPr>
        <w:br w:type="page"/>
      </w:r>
    </w:p>
    <w:p w:rsidR="00213A52" w:rsidRPr="00373011" w:rsidRDefault="00213A52" w:rsidP="00213A52">
      <w:pPr>
        <w:spacing w:after="120"/>
        <w:jc w:val="both"/>
        <w:rPr>
          <w:rFonts w:ascii="Tahoma" w:hAnsi="Tahoma" w:cs="Tahoma"/>
          <w:b/>
          <w:color w:val="17365D" w:themeColor="text2" w:themeShade="BF"/>
          <w:sz w:val="20"/>
          <w:u w:val="single"/>
        </w:rPr>
      </w:pPr>
      <w:bookmarkStart w:id="39" w:name="_Toc436040840"/>
      <w:r w:rsidRPr="00373011">
        <w:rPr>
          <w:rStyle w:val="Ttulo1Char"/>
          <w:sz w:val="20"/>
          <w:szCs w:val="21"/>
        </w:rPr>
        <w:lastRenderedPageBreak/>
        <w:t>EXPECTATIVAS DO MERCADO FINANCEIRO 201</w:t>
      </w:r>
      <w:r>
        <w:rPr>
          <w:rStyle w:val="Ttulo1Char"/>
          <w:sz w:val="20"/>
          <w:szCs w:val="21"/>
        </w:rPr>
        <w:t>8</w:t>
      </w:r>
      <w:r w:rsidRPr="00373011">
        <w:rPr>
          <w:rStyle w:val="Ttulo1Char"/>
          <w:sz w:val="20"/>
          <w:szCs w:val="21"/>
        </w:rPr>
        <w:t>/201</w:t>
      </w:r>
      <w:r>
        <w:rPr>
          <w:rStyle w:val="Ttulo1Char"/>
          <w:sz w:val="20"/>
          <w:szCs w:val="21"/>
        </w:rPr>
        <w:t>9</w:t>
      </w:r>
      <w:r w:rsidRPr="00373011">
        <w:rPr>
          <w:rStyle w:val="Ttulo1Char"/>
          <w:sz w:val="20"/>
          <w:szCs w:val="21"/>
        </w:rPr>
        <w:t xml:space="preserve"> - BRASIL</w:t>
      </w:r>
      <w:bookmarkEnd w:id="39"/>
      <w:r w:rsidRPr="00373011">
        <w:rPr>
          <w:color w:val="17365D" w:themeColor="text2" w:themeShade="BF"/>
          <w:sz w:val="20"/>
          <w:szCs w:val="30"/>
        </w:rPr>
        <w:object w:dxaOrig="3163" w:dyaOrig="3187">
          <v:shape id="_x0000_i1034" type="#_x0000_t75" style="width:23.25pt;height:23.25pt" o:ole="">
            <v:imagedata r:id="rId10" o:title=""/>
          </v:shape>
          <o:OLEObject Type="Embed" ProgID="CorelDRAW.Graphic.13" ShapeID="_x0000_i1034" DrawAspect="Content" ObjectID="_1608620657" r:id="rId24"/>
        </w:object>
      </w:r>
    </w:p>
    <w:p w:rsidR="00213A52" w:rsidRPr="00373011" w:rsidRDefault="00213A52" w:rsidP="00213A52">
      <w:pPr>
        <w:spacing w:after="120"/>
        <w:jc w:val="both"/>
        <w:rPr>
          <w:rFonts w:ascii="Tahoma" w:hAnsi="Tahoma" w:cs="Tahoma"/>
          <w:b/>
          <w:sz w:val="20"/>
        </w:rPr>
      </w:pPr>
    </w:p>
    <w:p w:rsidR="00213A52" w:rsidRPr="00213A52" w:rsidRDefault="00213A52" w:rsidP="00213A52">
      <w:pPr>
        <w:pStyle w:val="Ttulo2"/>
        <w:rPr>
          <w:rFonts w:ascii="Tahoma" w:eastAsiaTheme="minorEastAsia" w:hAnsi="Tahoma" w:cs="Tahoma"/>
          <w:b/>
          <w:color w:val="auto"/>
          <w:sz w:val="20"/>
          <w:szCs w:val="22"/>
        </w:rPr>
      </w:pPr>
      <w:bookmarkStart w:id="40" w:name="_Toc436040841"/>
      <w:r w:rsidRPr="00213A52">
        <w:rPr>
          <w:rFonts w:ascii="Tahoma" w:eastAsiaTheme="minorEastAsia" w:hAnsi="Tahoma" w:cs="Tahoma"/>
          <w:b/>
          <w:color w:val="auto"/>
          <w:sz w:val="20"/>
          <w:szCs w:val="22"/>
        </w:rPr>
        <w:t>Renda Fixa</w:t>
      </w:r>
      <w:bookmarkEnd w:id="40"/>
    </w:p>
    <w:p w:rsidR="00213A52" w:rsidRPr="00C60D32" w:rsidRDefault="00213A52" w:rsidP="00213A52">
      <w:pPr>
        <w:spacing w:after="120"/>
        <w:jc w:val="both"/>
        <w:rPr>
          <w:rFonts w:ascii="Tahoma" w:hAnsi="Tahoma" w:cs="Tahoma"/>
          <w:sz w:val="20"/>
        </w:rPr>
      </w:pPr>
      <w:r w:rsidRPr="00C60D32">
        <w:rPr>
          <w:rFonts w:ascii="Tahoma" w:hAnsi="Tahoma" w:cs="Tahoma"/>
          <w:sz w:val="20"/>
        </w:rPr>
        <w:t>Segundo a última revisão do relatório do FMI, divulgada em 08/2018, a economia brasileira está enfrentando sérios desafios.  Aponta para a necessidade de reformas estruturais, incluindo a da previdência, uma consolidação fiscal e um aperto da estrutura do setor financeiro, com taxas mais baixas, de forma a estimular a economia. Aponta a possibilidade de chegarmos com uma dívida bruta acima dos 90% do PIB em 2023, o que seria muito preocupante.</w:t>
      </w:r>
    </w:p>
    <w:p w:rsidR="00213A52" w:rsidRDefault="00213A52" w:rsidP="00213A52">
      <w:pPr>
        <w:spacing w:after="120"/>
        <w:jc w:val="both"/>
        <w:rPr>
          <w:rFonts w:ascii="Tahoma" w:hAnsi="Tahoma" w:cs="Tahoma"/>
          <w:sz w:val="20"/>
        </w:rPr>
      </w:pPr>
      <w:r w:rsidRPr="00C60D32">
        <w:rPr>
          <w:rFonts w:ascii="Tahoma" w:hAnsi="Tahoma" w:cs="Tahoma"/>
          <w:sz w:val="20"/>
        </w:rPr>
        <w:t>O relatório aponta o grande potencial de desenvolvimento e crescimento do Brasil, mas que precisamos restabelecer a confiança política e fiscal do país, passando por reformas tributárias. Quanto à política monetária, diz que o país pode estar perdendo o timing do aumento da taxa de juro</w:t>
      </w:r>
      <w:r>
        <w:rPr>
          <w:rFonts w:ascii="Tahoma" w:hAnsi="Tahoma" w:cs="Tahoma"/>
          <w:sz w:val="20"/>
        </w:rPr>
        <w:t>s</w:t>
      </w:r>
      <w:r w:rsidRPr="00C60D32">
        <w:rPr>
          <w:rFonts w:ascii="Tahoma" w:hAnsi="Tahoma" w:cs="Tahoma"/>
          <w:sz w:val="20"/>
        </w:rPr>
        <w:t xml:space="preserve"> e que o real tem se depreciado rapidamente. Aponta influência política no Banco Central Brasileiro.  Exalta a reforma trabalhista e de crédito subsidiado.</w:t>
      </w:r>
    </w:p>
    <w:p w:rsidR="00213A52" w:rsidRDefault="00213A52" w:rsidP="00213A52">
      <w:pPr>
        <w:spacing w:after="120"/>
        <w:jc w:val="both"/>
        <w:rPr>
          <w:rFonts w:ascii="Tahoma" w:hAnsi="Tahoma" w:cs="Tahoma"/>
          <w:sz w:val="20"/>
        </w:rPr>
      </w:pPr>
      <w:r>
        <w:rPr>
          <w:rFonts w:ascii="Tahoma" w:hAnsi="Tahoma" w:cs="Tahoma"/>
          <w:sz w:val="20"/>
        </w:rPr>
        <w:t>Ainda existe a troca de governança onde o balisador do mercado neste final de ano será a eleição presidencial, primeiro e segundo turno, e após teremos a icognita de como será o próximo governo, sua governabilidade e como estará as contas públicas. Sendo assim tanto o final deste ano como o ano que vem nos reserva uma certa cautela para renda fixa, novamente, pois além das incertezas politicas teremos as econômicas, além da projeção de aumento da Taxa Selic.</w:t>
      </w:r>
    </w:p>
    <w:p w:rsidR="00213A52" w:rsidRPr="00171269" w:rsidRDefault="00213A52" w:rsidP="00213A52">
      <w:pPr>
        <w:spacing w:after="120"/>
        <w:jc w:val="both"/>
        <w:rPr>
          <w:rFonts w:ascii="Tahoma" w:hAnsi="Tahoma" w:cs="Tahoma"/>
        </w:rPr>
      </w:pPr>
      <w:r>
        <w:rPr>
          <w:rFonts w:ascii="Tahoma" w:hAnsi="Tahoma" w:cs="Tahoma"/>
          <w:noProof/>
        </w:rPr>
        <w:drawing>
          <wp:inline distT="0" distB="0" distL="0" distR="0">
            <wp:extent cx="4615694" cy="359092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23038" cy="3596638"/>
                    </a:xfrm>
                    <a:prstGeom prst="rect">
                      <a:avLst/>
                    </a:prstGeom>
                    <a:noFill/>
                  </pic:spPr>
                </pic:pic>
              </a:graphicData>
            </a:graphic>
          </wp:inline>
        </w:drawing>
      </w:r>
    </w:p>
    <w:p w:rsidR="00213A52" w:rsidRPr="00171269" w:rsidRDefault="00213A52" w:rsidP="00213A52">
      <w:pPr>
        <w:spacing w:after="0" w:line="240" w:lineRule="auto"/>
        <w:jc w:val="both"/>
        <w:rPr>
          <w:rFonts w:ascii="Tahoma" w:hAnsi="Tahoma" w:cs="Tahoma"/>
          <w:b/>
          <w:bCs/>
          <w:sz w:val="18"/>
          <w:szCs w:val="18"/>
        </w:rPr>
      </w:pPr>
      <w:r w:rsidRPr="00171269">
        <w:rPr>
          <w:rFonts w:ascii="Tahoma" w:hAnsi="Tahoma" w:cs="Tahoma"/>
          <w:b/>
          <w:bCs/>
          <w:sz w:val="18"/>
          <w:szCs w:val="18"/>
        </w:rPr>
        <w:t>Gráfico 6 – Rentabilidade acumulada dos principais Indicadores IMA (%)</w:t>
      </w:r>
    </w:p>
    <w:p w:rsidR="00213A52" w:rsidRPr="00171269" w:rsidRDefault="00213A52" w:rsidP="00213A52">
      <w:pPr>
        <w:spacing w:after="0" w:line="240" w:lineRule="auto"/>
        <w:jc w:val="both"/>
        <w:rPr>
          <w:rFonts w:ascii="Tahoma" w:hAnsi="Tahoma" w:cs="Tahoma"/>
          <w:sz w:val="16"/>
          <w:szCs w:val="18"/>
        </w:rPr>
      </w:pPr>
      <w:r w:rsidRPr="00171269">
        <w:rPr>
          <w:rFonts w:ascii="Tahoma" w:hAnsi="Tahoma" w:cs="Tahoma"/>
          <w:sz w:val="16"/>
          <w:szCs w:val="18"/>
        </w:rPr>
        <w:t>Fonte: ANBIMA.</w:t>
      </w:r>
    </w:p>
    <w:p w:rsidR="00213A52" w:rsidRDefault="00213A52" w:rsidP="00213A52">
      <w:pPr>
        <w:spacing w:after="0" w:line="240" w:lineRule="auto"/>
        <w:jc w:val="both"/>
        <w:rPr>
          <w:rFonts w:ascii="Tahoma" w:hAnsi="Tahoma" w:cs="Tahoma"/>
          <w:sz w:val="16"/>
          <w:szCs w:val="18"/>
        </w:rPr>
      </w:pPr>
      <w:r w:rsidRPr="00171269">
        <w:rPr>
          <w:rFonts w:ascii="Tahoma" w:hAnsi="Tahoma" w:cs="Tahoma"/>
          <w:sz w:val="16"/>
          <w:szCs w:val="18"/>
        </w:rPr>
        <w:t xml:space="preserve">OBS: Janeiro a </w:t>
      </w:r>
      <w:r>
        <w:rPr>
          <w:rFonts w:ascii="Tahoma" w:hAnsi="Tahoma" w:cs="Tahoma"/>
          <w:sz w:val="16"/>
          <w:szCs w:val="18"/>
        </w:rPr>
        <w:t>agosto</w:t>
      </w:r>
      <w:r w:rsidRPr="00171269">
        <w:rPr>
          <w:rFonts w:ascii="Tahoma" w:hAnsi="Tahoma" w:cs="Tahoma"/>
          <w:sz w:val="16"/>
          <w:szCs w:val="18"/>
        </w:rPr>
        <w:t xml:space="preserve"> de 201</w:t>
      </w:r>
      <w:r>
        <w:rPr>
          <w:rFonts w:ascii="Tahoma" w:hAnsi="Tahoma" w:cs="Tahoma"/>
          <w:sz w:val="16"/>
          <w:szCs w:val="18"/>
        </w:rPr>
        <w:t>8</w:t>
      </w:r>
      <w:r w:rsidRPr="00171269">
        <w:rPr>
          <w:rFonts w:ascii="Tahoma" w:hAnsi="Tahoma" w:cs="Tahoma"/>
          <w:sz w:val="16"/>
          <w:szCs w:val="18"/>
        </w:rPr>
        <w:t>.</w:t>
      </w:r>
    </w:p>
    <w:p w:rsidR="00213A52" w:rsidRPr="00171269" w:rsidRDefault="00213A52" w:rsidP="00213A52">
      <w:pPr>
        <w:spacing w:after="0" w:line="240" w:lineRule="auto"/>
        <w:jc w:val="both"/>
        <w:rPr>
          <w:rFonts w:ascii="Tahoma" w:hAnsi="Tahoma" w:cs="Tahoma"/>
          <w:sz w:val="16"/>
          <w:szCs w:val="18"/>
        </w:rPr>
      </w:pPr>
    </w:p>
    <w:p w:rsidR="00213A52" w:rsidRPr="00373011" w:rsidRDefault="00213A52" w:rsidP="00213A52">
      <w:pPr>
        <w:spacing w:after="120"/>
        <w:jc w:val="both"/>
        <w:rPr>
          <w:rFonts w:ascii="Tahoma" w:hAnsi="Tahoma" w:cs="Tahoma"/>
          <w:sz w:val="20"/>
        </w:rPr>
      </w:pPr>
      <w:r w:rsidRPr="00373011">
        <w:rPr>
          <w:rFonts w:ascii="Tahoma" w:hAnsi="Tahoma" w:cs="Tahoma"/>
          <w:sz w:val="20"/>
        </w:rPr>
        <w:lastRenderedPageBreak/>
        <w:t>De maneira análoga a 2016, o ano de 2017 também foi pautado por expectativas acerca do comportamento da taxa básica de juros, cuja previsão de queda ao longo do exercício seguiu valorizando os títulos cursados em mercado.</w:t>
      </w:r>
      <w:r>
        <w:rPr>
          <w:rFonts w:ascii="Tahoma" w:hAnsi="Tahoma" w:cs="Tahoma"/>
          <w:sz w:val="20"/>
        </w:rPr>
        <w:t xml:space="preserve"> D</w:t>
      </w:r>
      <w:r w:rsidRPr="00373011">
        <w:rPr>
          <w:rFonts w:ascii="Tahoma" w:hAnsi="Tahoma" w:cs="Tahoma"/>
          <w:sz w:val="20"/>
        </w:rPr>
        <w:t>iferentemente do ano anterior,</w:t>
      </w:r>
      <w:r>
        <w:rPr>
          <w:rFonts w:ascii="Tahoma" w:hAnsi="Tahoma" w:cs="Tahoma"/>
          <w:sz w:val="20"/>
        </w:rPr>
        <w:t xml:space="preserve"> 2018,</w:t>
      </w:r>
      <w:r w:rsidRPr="00373011">
        <w:rPr>
          <w:rFonts w:ascii="Tahoma" w:hAnsi="Tahoma" w:cs="Tahoma"/>
          <w:sz w:val="20"/>
        </w:rPr>
        <w:t xml:space="preserve"> o mercado apresentou maior volatilidade em determinados meses, com as incertezas politicas modificando a percepção de risco dos investidores, em especial no que se refere à manutenção do ritmo de corte da Selic pelo COPOM</w:t>
      </w:r>
      <w:r>
        <w:rPr>
          <w:rFonts w:ascii="Tahoma" w:hAnsi="Tahoma" w:cs="Tahoma"/>
          <w:sz w:val="20"/>
        </w:rPr>
        <w:t xml:space="preserve"> e 2019 este cenário de volatilidade tem a chance de continuidade com o incremento de tendência a se iniciar um ciclo de aumento da Taxa de Juros </w:t>
      </w:r>
      <w:r w:rsidRPr="00373011">
        <w:rPr>
          <w:rFonts w:ascii="Tahoma" w:hAnsi="Tahoma" w:cs="Tahoma"/>
          <w:sz w:val="20"/>
        </w:rPr>
        <w:t>.</w:t>
      </w:r>
    </w:p>
    <w:p w:rsidR="00213A52" w:rsidRPr="00373011" w:rsidRDefault="00213A52" w:rsidP="00213A52">
      <w:pPr>
        <w:spacing w:after="120"/>
        <w:jc w:val="both"/>
        <w:rPr>
          <w:rFonts w:ascii="Tahoma" w:hAnsi="Tahoma" w:cs="Tahoma"/>
          <w:sz w:val="20"/>
        </w:rPr>
      </w:pPr>
      <w:r>
        <w:rPr>
          <w:rFonts w:ascii="Tahoma" w:hAnsi="Tahoma" w:cs="Tahoma"/>
          <w:sz w:val="20"/>
        </w:rPr>
        <w:t>Assim notamos que os ativos com maiores prazos podem vir a sofrer nestes cenário, o que já podemos verificar neste ano, conforme gráfico abaixo:</w:t>
      </w:r>
    </w:p>
    <w:p w:rsidR="00213A52" w:rsidRPr="00171269" w:rsidRDefault="00213A52" w:rsidP="00213A52">
      <w:pPr>
        <w:spacing w:after="120"/>
        <w:jc w:val="center"/>
        <w:rPr>
          <w:rFonts w:ascii="Tahoma" w:hAnsi="Tahoma" w:cs="Tahoma"/>
        </w:rPr>
      </w:pPr>
      <w:r w:rsidRPr="00431156">
        <w:rPr>
          <w:noProof/>
        </w:rPr>
        <w:drawing>
          <wp:inline distT="0" distB="0" distL="0" distR="0">
            <wp:extent cx="4457700" cy="3466189"/>
            <wp:effectExtent l="0" t="0" r="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61510" cy="3469151"/>
                    </a:xfrm>
                    <a:prstGeom prst="rect">
                      <a:avLst/>
                    </a:prstGeom>
                    <a:noFill/>
                    <a:ln>
                      <a:noFill/>
                    </a:ln>
                  </pic:spPr>
                </pic:pic>
              </a:graphicData>
            </a:graphic>
          </wp:inline>
        </w:drawing>
      </w:r>
    </w:p>
    <w:p w:rsidR="00213A52" w:rsidRPr="00171269" w:rsidRDefault="00213A52" w:rsidP="00213A52">
      <w:pPr>
        <w:spacing w:after="0" w:line="240" w:lineRule="auto"/>
        <w:jc w:val="both"/>
        <w:rPr>
          <w:rFonts w:ascii="Tahoma" w:hAnsi="Tahoma" w:cs="Tahoma"/>
          <w:b/>
          <w:bCs/>
          <w:sz w:val="18"/>
          <w:szCs w:val="18"/>
        </w:rPr>
      </w:pPr>
      <w:r w:rsidRPr="00171269">
        <w:rPr>
          <w:rFonts w:ascii="Tahoma" w:hAnsi="Tahoma" w:cs="Tahoma"/>
          <w:b/>
          <w:bCs/>
          <w:sz w:val="18"/>
          <w:szCs w:val="18"/>
        </w:rPr>
        <w:t>Gráfico 7 – Rentabilidade acumulada dos índices atrelados a ativos de maior duração (%)</w:t>
      </w:r>
    </w:p>
    <w:p w:rsidR="00213A52" w:rsidRPr="00171269" w:rsidRDefault="00213A52" w:rsidP="00213A52">
      <w:pPr>
        <w:spacing w:after="0" w:line="240" w:lineRule="auto"/>
        <w:jc w:val="both"/>
        <w:rPr>
          <w:rFonts w:ascii="Tahoma" w:hAnsi="Tahoma" w:cs="Tahoma"/>
          <w:sz w:val="16"/>
          <w:szCs w:val="18"/>
        </w:rPr>
      </w:pPr>
      <w:r w:rsidRPr="00171269">
        <w:rPr>
          <w:rFonts w:ascii="Tahoma" w:hAnsi="Tahoma" w:cs="Tahoma"/>
          <w:sz w:val="16"/>
          <w:szCs w:val="18"/>
        </w:rPr>
        <w:t>Fonte: ANBIMA.</w:t>
      </w:r>
    </w:p>
    <w:p w:rsidR="00213A52" w:rsidRPr="00171269" w:rsidRDefault="00213A52" w:rsidP="00213A52">
      <w:pPr>
        <w:spacing w:after="0" w:line="240" w:lineRule="auto"/>
        <w:jc w:val="both"/>
        <w:rPr>
          <w:rFonts w:ascii="Tahoma" w:hAnsi="Tahoma" w:cs="Tahoma"/>
          <w:sz w:val="16"/>
          <w:szCs w:val="18"/>
        </w:rPr>
      </w:pPr>
      <w:r>
        <w:rPr>
          <w:rFonts w:ascii="Tahoma" w:hAnsi="Tahoma" w:cs="Tahoma"/>
          <w:sz w:val="16"/>
          <w:szCs w:val="18"/>
        </w:rPr>
        <w:t>OBS: Janeiro a agosto de 2018</w:t>
      </w:r>
    </w:p>
    <w:p w:rsidR="00213A52" w:rsidRPr="00171269" w:rsidRDefault="00213A52" w:rsidP="00213A52">
      <w:pPr>
        <w:spacing w:after="120"/>
        <w:jc w:val="both"/>
        <w:rPr>
          <w:rFonts w:ascii="Tahoma" w:hAnsi="Tahoma" w:cs="Tahoma"/>
        </w:rPr>
      </w:pPr>
    </w:p>
    <w:p w:rsidR="00213A52" w:rsidRPr="00373011" w:rsidRDefault="00213A52" w:rsidP="00213A52">
      <w:pPr>
        <w:spacing w:after="120"/>
        <w:jc w:val="both"/>
        <w:rPr>
          <w:rFonts w:ascii="Tahoma" w:hAnsi="Tahoma" w:cs="Tahoma"/>
          <w:sz w:val="20"/>
        </w:rPr>
      </w:pPr>
      <w:r w:rsidRPr="00373011">
        <w:rPr>
          <w:rFonts w:ascii="Tahoma" w:hAnsi="Tahoma" w:cs="Tahoma"/>
          <w:sz w:val="20"/>
        </w:rPr>
        <w:t>Importante destacar que as maiores volatilidades ocorreram nos títulos de maior prazo atrelados à inflação, haja vista a trajetória de queda dos indicadores ao longo de 201</w:t>
      </w:r>
      <w:r>
        <w:rPr>
          <w:rFonts w:ascii="Tahoma" w:hAnsi="Tahoma" w:cs="Tahoma"/>
          <w:sz w:val="20"/>
        </w:rPr>
        <w:t>8</w:t>
      </w:r>
      <w:r w:rsidRPr="00373011">
        <w:rPr>
          <w:rFonts w:ascii="Tahoma" w:hAnsi="Tahoma" w:cs="Tahoma"/>
          <w:sz w:val="20"/>
        </w:rPr>
        <w:t xml:space="preserve">, com o IPCA ficando abaixo do centro da meta. </w:t>
      </w:r>
    </w:p>
    <w:p w:rsidR="00213A52" w:rsidRPr="00373011" w:rsidRDefault="00213A52" w:rsidP="00213A52">
      <w:pPr>
        <w:spacing w:after="120"/>
        <w:jc w:val="both"/>
        <w:rPr>
          <w:rFonts w:ascii="Tahoma" w:hAnsi="Tahoma" w:cs="Tahoma"/>
          <w:sz w:val="20"/>
        </w:rPr>
      </w:pPr>
      <w:r w:rsidRPr="000026C8">
        <w:rPr>
          <w:rFonts w:ascii="Tahoma" w:hAnsi="Tahoma" w:cs="Tahoma"/>
          <w:sz w:val="20"/>
        </w:rPr>
        <w:t>Na comparação entre as rentabilidades dos índices calculados pela Anbima, percebe-se novamente</w:t>
      </w:r>
      <w:r>
        <w:rPr>
          <w:rFonts w:ascii="Tahoma" w:hAnsi="Tahoma" w:cs="Tahoma"/>
          <w:sz w:val="20"/>
        </w:rPr>
        <w:t xml:space="preserve"> o risco </w:t>
      </w:r>
      <w:r w:rsidRPr="000026C8">
        <w:rPr>
          <w:rFonts w:ascii="Tahoma" w:hAnsi="Tahoma" w:cs="Tahoma"/>
          <w:sz w:val="20"/>
        </w:rPr>
        <w:t>dos subíndices que expressam as carteiras de ativos com maior prazo frente aos de menor duração</w:t>
      </w:r>
      <w:r w:rsidRPr="00373011">
        <w:rPr>
          <w:rFonts w:ascii="Tahoma" w:hAnsi="Tahoma" w:cs="Tahoma"/>
          <w:sz w:val="20"/>
        </w:rPr>
        <w:t xml:space="preserve">. </w:t>
      </w:r>
    </w:p>
    <w:p w:rsidR="00213A52" w:rsidRPr="00373011" w:rsidRDefault="00213A52" w:rsidP="00213A52">
      <w:pPr>
        <w:spacing w:after="120"/>
        <w:jc w:val="both"/>
        <w:rPr>
          <w:rFonts w:ascii="Tahoma" w:hAnsi="Tahoma" w:cs="Tahoma"/>
          <w:sz w:val="20"/>
        </w:rPr>
      </w:pPr>
    </w:p>
    <w:p w:rsidR="00213A52" w:rsidRPr="00171269" w:rsidRDefault="00213A52" w:rsidP="00213A52">
      <w:pPr>
        <w:spacing w:after="120"/>
        <w:jc w:val="center"/>
        <w:rPr>
          <w:rFonts w:ascii="Tahoma" w:hAnsi="Tahoma" w:cs="Tahoma"/>
        </w:rPr>
      </w:pPr>
      <w:r w:rsidRPr="00431156">
        <w:rPr>
          <w:noProof/>
        </w:rPr>
        <w:lastRenderedPageBreak/>
        <w:drawing>
          <wp:inline distT="0" distB="0" distL="0" distR="0">
            <wp:extent cx="4429125" cy="3443970"/>
            <wp:effectExtent l="0" t="0" r="0" b="444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32173" cy="3446340"/>
                    </a:xfrm>
                    <a:prstGeom prst="rect">
                      <a:avLst/>
                    </a:prstGeom>
                    <a:noFill/>
                    <a:ln>
                      <a:noFill/>
                    </a:ln>
                  </pic:spPr>
                </pic:pic>
              </a:graphicData>
            </a:graphic>
          </wp:inline>
        </w:drawing>
      </w:r>
    </w:p>
    <w:p w:rsidR="00213A52" w:rsidRPr="00171269" w:rsidRDefault="00213A52" w:rsidP="00213A52">
      <w:pPr>
        <w:spacing w:after="0" w:line="240" w:lineRule="auto"/>
        <w:jc w:val="both"/>
        <w:rPr>
          <w:rFonts w:ascii="Tahoma" w:hAnsi="Tahoma" w:cs="Tahoma"/>
          <w:b/>
          <w:bCs/>
          <w:sz w:val="18"/>
          <w:szCs w:val="18"/>
        </w:rPr>
      </w:pPr>
      <w:r w:rsidRPr="00171269">
        <w:rPr>
          <w:rFonts w:ascii="Tahoma" w:hAnsi="Tahoma" w:cs="Tahoma"/>
          <w:b/>
          <w:bCs/>
          <w:sz w:val="18"/>
          <w:szCs w:val="18"/>
        </w:rPr>
        <w:t>Gráfico 8 – Rentabilidade acumulada dos índices atrelados a ativos de menor duração (%)</w:t>
      </w:r>
    </w:p>
    <w:p w:rsidR="00213A52" w:rsidRPr="00171269" w:rsidRDefault="00213A52" w:rsidP="00213A52">
      <w:pPr>
        <w:spacing w:after="0" w:line="240" w:lineRule="auto"/>
        <w:jc w:val="both"/>
        <w:rPr>
          <w:rFonts w:ascii="Tahoma" w:hAnsi="Tahoma" w:cs="Tahoma"/>
          <w:sz w:val="16"/>
          <w:szCs w:val="18"/>
        </w:rPr>
      </w:pPr>
      <w:r w:rsidRPr="00171269">
        <w:rPr>
          <w:rFonts w:ascii="Tahoma" w:hAnsi="Tahoma" w:cs="Tahoma"/>
          <w:sz w:val="16"/>
          <w:szCs w:val="18"/>
        </w:rPr>
        <w:t>Fonte: ANBIMA.</w:t>
      </w:r>
    </w:p>
    <w:p w:rsidR="00213A52" w:rsidRPr="00171269" w:rsidRDefault="00213A52" w:rsidP="00213A52">
      <w:pPr>
        <w:spacing w:after="0" w:line="240" w:lineRule="auto"/>
        <w:jc w:val="both"/>
        <w:rPr>
          <w:rFonts w:ascii="Tahoma" w:hAnsi="Tahoma" w:cs="Tahoma"/>
          <w:sz w:val="16"/>
          <w:szCs w:val="18"/>
        </w:rPr>
      </w:pPr>
      <w:r w:rsidRPr="00171269">
        <w:rPr>
          <w:rFonts w:ascii="Tahoma" w:hAnsi="Tahoma" w:cs="Tahoma"/>
          <w:sz w:val="16"/>
          <w:szCs w:val="18"/>
        </w:rPr>
        <w:t xml:space="preserve">OBS: Janeiro a </w:t>
      </w:r>
      <w:r>
        <w:rPr>
          <w:rFonts w:ascii="Tahoma" w:hAnsi="Tahoma" w:cs="Tahoma"/>
          <w:sz w:val="16"/>
          <w:szCs w:val="18"/>
        </w:rPr>
        <w:t>agosto</w:t>
      </w:r>
      <w:r w:rsidRPr="00171269">
        <w:rPr>
          <w:rFonts w:ascii="Tahoma" w:hAnsi="Tahoma" w:cs="Tahoma"/>
          <w:sz w:val="16"/>
          <w:szCs w:val="18"/>
        </w:rPr>
        <w:t xml:space="preserve"> de 201</w:t>
      </w:r>
      <w:r>
        <w:rPr>
          <w:rFonts w:ascii="Tahoma" w:hAnsi="Tahoma" w:cs="Tahoma"/>
          <w:sz w:val="16"/>
          <w:szCs w:val="18"/>
        </w:rPr>
        <w:t>8</w:t>
      </w:r>
    </w:p>
    <w:p w:rsidR="00213A52" w:rsidRPr="00171269" w:rsidRDefault="00213A52" w:rsidP="00213A52">
      <w:pPr>
        <w:spacing w:after="0" w:line="240" w:lineRule="auto"/>
        <w:jc w:val="both"/>
        <w:rPr>
          <w:rFonts w:ascii="Tahoma" w:hAnsi="Tahoma" w:cs="Tahoma"/>
          <w:sz w:val="16"/>
          <w:szCs w:val="18"/>
        </w:rPr>
      </w:pPr>
    </w:p>
    <w:p w:rsidR="00213A52" w:rsidRPr="00171269" w:rsidRDefault="00213A52" w:rsidP="00213A52">
      <w:pPr>
        <w:spacing w:after="120"/>
        <w:jc w:val="both"/>
        <w:rPr>
          <w:rFonts w:ascii="Tahoma" w:hAnsi="Tahoma" w:cs="Tahoma"/>
        </w:rPr>
      </w:pPr>
    </w:p>
    <w:p w:rsidR="00213A52" w:rsidRPr="000026C8" w:rsidRDefault="00213A52" w:rsidP="00213A52">
      <w:pPr>
        <w:spacing w:after="120"/>
        <w:jc w:val="both"/>
        <w:rPr>
          <w:rFonts w:ascii="Tahoma" w:hAnsi="Tahoma" w:cs="Tahoma"/>
          <w:sz w:val="20"/>
        </w:rPr>
      </w:pPr>
      <w:r w:rsidRPr="000026C8">
        <w:rPr>
          <w:rFonts w:ascii="Tahoma" w:hAnsi="Tahoma" w:cs="Tahoma"/>
          <w:sz w:val="20"/>
        </w:rPr>
        <w:t>De um modo geral, todas as projeções para o encerramento de 2018 indicam uma taxa Selic próxima de sua mínima histórica, terminando o exercício em 6,</w:t>
      </w:r>
      <w:r>
        <w:rPr>
          <w:rFonts w:ascii="Tahoma" w:hAnsi="Tahoma" w:cs="Tahoma"/>
          <w:sz w:val="20"/>
        </w:rPr>
        <w:t>50</w:t>
      </w:r>
      <w:r w:rsidRPr="000026C8">
        <w:rPr>
          <w:rFonts w:ascii="Tahoma" w:hAnsi="Tahoma" w:cs="Tahoma"/>
          <w:sz w:val="20"/>
        </w:rPr>
        <w:t>% ao ano.</w:t>
      </w:r>
    </w:p>
    <w:p w:rsidR="00213A52" w:rsidRPr="00373011" w:rsidRDefault="00213A52" w:rsidP="00213A52">
      <w:pPr>
        <w:spacing w:after="120"/>
        <w:jc w:val="both"/>
        <w:rPr>
          <w:rFonts w:ascii="Tahoma" w:hAnsi="Tahoma" w:cs="Tahoma"/>
          <w:sz w:val="20"/>
        </w:rPr>
      </w:pPr>
      <w:r w:rsidRPr="00373011">
        <w:rPr>
          <w:rFonts w:ascii="Tahoma" w:hAnsi="Tahoma" w:cs="Tahoma"/>
          <w:sz w:val="20"/>
        </w:rPr>
        <w:t>Nesse sentido, a tendência é que investimentos em carteiras atreladas a títulos de maior prazo passem a apresentar menores rentabilidades em 2018, uma vez que as taxas já consideradas nesses papéis não mais garantirão retornos superiores às futuras emissões primárias, em especial daqueles atrelados a índices de preços.</w:t>
      </w:r>
    </w:p>
    <w:p w:rsidR="00213A52" w:rsidRPr="00373011" w:rsidRDefault="00213A52" w:rsidP="00213A52">
      <w:pPr>
        <w:spacing w:after="120"/>
        <w:jc w:val="both"/>
        <w:rPr>
          <w:rFonts w:ascii="Tahoma" w:hAnsi="Tahoma" w:cs="Tahoma"/>
          <w:sz w:val="20"/>
        </w:rPr>
      </w:pPr>
      <w:r w:rsidRPr="00373011">
        <w:rPr>
          <w:rFonts w:ascii="Tahoma" w:hAnsi="Tahoma" w:cs="Tahoma"/>
          <w:sz w:val="20"/>
        </w:rPr>
        <w:t xml:space="preserve">Importante destacar que desde o inicio da divulgação da meta da taxa Selic para fins de politica monetária (1999), os juros básicos da economia brasileira nunca foram inferiores a 7,25% ao ano, percentual que perdurou entre outubro de 2012 a abril de 2013. </w:t>
      </w:r>
    </w:p>
    <w:p w:rsidR="00213A52" w:rsidRPr="00373011" w:rsidRDefault="00213A52" w:rsidP="00213A52">
      <w:pPr>
        <w:spacing w:after="120"/>
        <w:jc w:val="both"/>
        <w:rPr>
          <w:rFonts w:ascii="Tahoma" w:hAnsi="Tahoma" w:cs="Tahoma"/>
          <w:sz w:val="20"/>
        </w:rPr>
      </w:pPr>
      <w:r w:rsidRPr="00373011">
        <w:rPr>
          <w:rFonts w:ascii="Tahoma" w:hAnsi="Tahoma" w:cs="Tahoma"/>
          <w:sz w:val="20"/>
        </w:rPr>
        <w:t>Assim, recomenda-se uma prudente diversificação do portfólio, com preferência para alocação de recursos em investimentos de prazos mais curtos, haja a vista a tendência de um cenário com baixa inflação</w:t>
      </w:r>
      <w:r>
        <w:rPr>
          <w:rFonts w:ascii="Tahoma" w:hAnsi="Tahoma" w:cs="Tahoma"/>
          <w:sz w:val="20"/>
        </w:rPr>
        <w:t>, incertezas politicas</w:t>
      </w:r>
      <w:r w:rsidRPr="00373011">
        <w:rPr>
          <w:rFonts w:ascii="Tahoma" w:hAnsi="Tahoma" w:cs="Tahoma"/>
          <w:sz w:val="20"/>
        </w:rPr>
        <w:t xml:space="preserve"> e </w:t>
      </w:r>
      <w:r>
        <w:rPr>
          <w:rFonts w:ascii="Tahoma" w:hAnsi="Tahoma" w:cs="Tahoma"/>
          <w:sz w:val="20"/>
        </w:rPr>
        <w:t>inicio do ciclo de aumento</w:t>
      </w:r>
      <w:r w:rsidRPr="00373011">
        <w:rPr>
          <w:rFonts w:ascii="Tahoma" w:hAnsi="Tahoma" w:cs="Tahoma"/>
          <w:sz w:val="20"/>
        </w:rPr>
        <w:t xml:space="preserve"> da Selic, tendo como consequência a respectiva perda de atratividade por títulos de prazos mais longos.</w:t>
      </w:r>
    </w:p>
    <w:p w:rsidR="00213A52" w:rsidRPr="00373011" w:rsidRDefault="00213A52" w:rsidP="00213A52">
      <w:pPr>
        <w:spacing w:after="120"/>
        <w:jc w:val="both"/>
        <w:rPr>
          <w:rFonts w:ascii="Tahoma" w:hAnsi="Tahoma" w:cs="Tahoma"/>
          <w:sz w:val="20"/>
        </w:rPr>
      </w:pPr>
      <w:r w:rsidRPr="00373011">
        <w:rPr>
          <w:rFonts w:ascii="Tahoma" w:hAnsi="Tahoma" w:cs="Tahoma"/>
          <w:sz w:val="20"/>
        </w:rPr>
        <w:t>Ademais, a sugerida diversificação confere ao investidor a proteção necessária contra eventuais contingências que venham a interferir na condução da politica monetária, cujos efeitos tendem a se refletir na duração.</w:t>
      </w:r>
    </w:p>
    <w:p w:rsidR="00213A52" w:rsidRPr="00373011" w:rsidRDefault="00213A52" w:rsidP="00213A52">
      <w:pPr>
        <w:spacing w:after="120"/>
        <w:jc w:val="both"/>
        <w:rPr>
          <w:rFonts w:ascii="Tahoma" w:hAnsi="Tahoma" w:cs="Tahoma"/>
          <w:sz w:val="20"/>
        </w:rPr>
      </w:pPr>
    </w:p>
    <w:p w:rsidR="00213A52" w:rsidRPr="00213A52" w:rsidRDefault="00213A52" w:rsidP="00213A52">
      <w:pPr>
        <w:pStyle w:val="Ttulo2"/>
        <w:rPr>
          <w:rFonts w:ascii="Tahoma" w:eastAsiaTheme="minorEastAsia" w:hAnsi="Tahoma" w:cs="Tahoma"/>
          <w:b/>
          <w:color w:val="auto"/>
          <w:sz w:val="20"/>
          <w:szCs w:val="22"/>
        </w:rPr>
      </w:pPr>
      <w:bookmarkStart w:id="41" w:name="_Toc436040842"/>
      <w:r w:rsidRPr="00213A52">
        <w:rPr>
          <w:rFonts w:ascii="Tahoma" w:eastAsiaTheme="minorEastAsia" w:hAnsi="Tahoma" w:cs="Tahoma"/>
          <w:b/>
          <w:color w:val="auto"/>
          <w:sz w:val="20"/>
          <w:szCs w:val="22"/>
        </w:rPr>
        <w:lastRenderedPageBreak/>
        <w:t>Renda Variável</w:t>
      </w:r>
      <w:bookmarkEnd w:id="41"/>
    </w:p>
    <w:p w:rsidR="00213A52" w:rsidRPr="00373011" w:rsidRDefault="00213A52" w:rsidP="00213A52">
      <w:pPr>
        <w:spacing w:after="120"/>
        <w:jc w:val="both"/>
        <w:rPr>
          <w:rFonts w:ascii="Tahoma" w:hAnsi="Tahoma" w:cs="Tahoma"/>
          <w:sz w:val="20"/>
        </w:rPr>
      </w:pPr>
      <w:r w:rsidRPr="00373011">
        <w:rPr>
          <w:rFonts w:ascii="Tahoma" w:hAnsi="Tahoma" w:cs="Tahoma"/>
          <w:sz w:val="20"/>
        </w:rPr>
        <w:t>Após registrar grande</w:t>
      </w:r>
      <w:r>
        <w:rPr>
          <w:rFonts w:ascii="Tahoma" w:hAnsi="Tahoma" w:cs="Tahoma"/>
          <w:sz w:val="20"/>
        </w:rPr>
        <w:t xml:space="preserve"> volatilidade e um bom</w:t>
      </w:r>
      <w:r w:rsidRPr="00373011">
        <w:rPr>
          <w:rFonts w:ascii="Tahoma" w:hAnsi="Tahoma" w:cs="Tahoma"/>
          <w:sz w:val="20"/>
        </w:rPr>
        <w:t xml:space="preserve"> desempenho em 201</w:t>
      </w:r>
      <w:r>
        <w:rPr>
          <w:rFonts w:ascii="Tahoma" w:hAnsi="Tahoma" w:cs="Tahoma"/>
          <w:sz w:val="20"/>
        </w:rPr>
        <w:t>7</w:t>
      </w:r>
      <w:r w:rsidRPr="00373011">
        <w:rPr>
          <w:rFonts w:ascii="Tahoma" w:hAnsi="Tahoma" w:cs="Tahoma"/>
          <w:sz w:val="20"/>
        </w:rPr>
        <w:t xml:space="preserve">, quando o índice Ibovespa, principal indicador da Bolsa de Valores, Mercadorias e Futuros de São Paulo, atingiu um ganho anual de </w:t>
      </w:r>
      <w:r>
        <w:rPr>
          <w:rFonts w:ascii="Tahoma" w:hAnsi="Tahoma" w:cs="Tahoma"/>
          <w:sz w:val="20"/>
        </w:rPr>
        <w:t>26,86</w:t>
      </w:r>
      <w:r w:rsidRPr="00373011">
        <w:rPr>
          <w:rFonts w:ascii="Tahoma" w:hAnsi="Tahoma" w:cs="Tahoma"/>
          <w:sz w:val="20"/>
        </w:rPr>
        <w:t>%, o segmento de renda variável voltou a apresentar volatilidade em 201</w:t>
      </w:r>
      <w:r>
        <w:rPr>
          <w:rFonts w:ascii="Tahoma" w:hAnsi="Tahoma" w:cs="Tahoma"/>
          <w:sz w:val="20"/>
        </w:rPr>
        <w:t>8</w:t>
      </w:r>
      <w:r w:rsidRPr="00373011">
        <w:rPr>
          <w:rFonts w:ascii="Tahoma" w:hAnsi="Tahoma" w:cs="Tahoma"/>
          <w:sz w:val="20"/>
        </w:rPr>
        <w:t>.</w:t>
      </w:r>
    </w:p>
    <w:p w:rsidR="00213A52" w:rsidRPr="00373011" w:rsidRDefault="00213A52" w:rsidP="00213A52">
      <w:pPr>
        <w:spacing w:after="120"/>
        <w:jc w:val="both"/>
        <w:rPr>
          <w:rFonts w:ascii="Tahoma" w:hAnsi="Tahoma" w:cs="Tahoma"/>
          <w:sz w:val="20"/>
        </w:rPr>
      </w:pPr>
      <w:r w:rsidRPr="00373011">
        <w:rPr>
          <w:rFonts w:ascii="Tahoma" w:hAnsi="Tahoma" w:cs="Tahoma"/>
          <w:sz w:val="20"/>
        </w:rPr>
        <w:t xml:space="preserve">Assim como o mercado de renda fixa, o comportamento da renda variável refletiu as incertezas politicas do país. Os desdobramentos da Operação Lava-Jato, as denúncias contra o Presidente Temer e a dificuldade na aprovação das reformas com o respectivo agravamento da situação fiscal, corroboraram com as oscilações verificadas no período. </w:t>
      </w:r>
    </w:p>
    <w:p w:rsidR="00213A52" w:rsidRPr="00373011" w:rsidRDefault="00213A52" w:rsidP="00213A52">
      <w:pPr>
        <w:spacing w:after="120"/>
        <w:jc w:val="both"/>
        <w:rPr>
          <w:rFonts w:ascii="Tahoma" w:hAnsi="Tahoma" w:cs="Tahoma"/>
          <w:sz w:val="20"/>
        </w:rPr>
      </w:pPr>
      <w:r w:rsidRPr="00373011">
        <w:rPr>
          <w:rFonts w:ascii="Tahoma" w:hAnsi="Tahoma" w:cs="Tahoma"/>
          <w:sz w:val="20"/>
        </w:rPr>
        <w:t>Por outro lado, a recuperação da economia aferida no acumulado dos últimos dois trimestres, as sucessivas reduções da taxa Selic, e a minimização do risco de um novo impeachment, contrabalancearam a percepção de risco dos investidores.</w:t>
      </w:r>
    </w:p>
    <w:p w:rsidR="00213A52" w:rsidRPr="000026C8" w:rsidRDefault="00213A52" w:rsidP="00213A52">
      <w:pPr>
        <w:spacing w:after="120"/>
        <w:jc w:val="both"/>
        <w:rPr>
          <w:rFonts w:ascii="Tahoma" w:hAnsi="Tahoma" w:cs="Tahoma"/>
          <w:sz w:val="20"/>
        </w:rPr>
      </w:pPr>
      <w:r w:rsidRPr="000026C8">
        <w:rPr>
          <w:rFonts w:ascii="Tahoma" w:hAnsi="Tahoma" w:cs="Tahoma"/>
          <w:sz w:val="20"/>
        </w:rPr>
        <w:t xml:space="preserve">Por conseguinte o Índice Ibovespa vem acumulando </w:t>
      </w:r>
      <w:r>
        <w:rPr>
          <w:rFonts w:ascii="Tahoma" w:hAnsi="Tahoma" w:cs="Tahoma"/>
          <w:sz w:val="20"/>
        </w:rPr>
        <w:t>perdas</w:t>
      </w:r>
      <w:r w:rsidRPr="000026C8">
        <w:rPr>
          <w:rFonts w:ascii="Tahoma" w:hAnsi="Tahoma" w:cs="Tahoma"/>
          <w:sz w:val="20"/>
        </w:rPr>
        <w:t xml:space="preserve"> em 2018, perfazendo uma variação </w:t>
      </w:r>
      <w:r>
        <w:rPr>
          <w:rFonts w:ascii="Tahoma" w:hAnsi="Tahoma" w:cs="Tahoma"/>
          <w:sz w:val="20"/>
        </w:rPr>
        <w:t>negativa</w:t>
      </w:r>
      <w:r w:rsidRPr="000026C8">
        <w:rPr>
          <w:rFonts w:ascii="Tahoma" w:hAnsi="Tahoma" w:cs="Tahoma"/>
          <w:sz w:val="20"/>
        </w:rPr>
        <w:t xml:space="preserve"> de </w:t>
      </w:r>
      <w:r>
        <w:rPr>
          <w:rFonts w:ascii="Tahoma" w:hAnsi="Tahoma" w:cs="Tahoma"/>
          <w:sz w:val="20"/>
        </w:rPr>
        <w:t>2,25</w:t>
      </w:r>
      <w:r w:rsidRPr="000026C8">
        <w:rPr>
          <w:rFonts w:ascii="Tahoma" w:hAnsi="Tahoma" w:cs="Tahoma"/>
          <w:sz w:val="20"/>
        </w:rPr>
        <w:t xml:space="preserve">% entre os meses de janeiro a </w:t>
      </w:r>
      <w:r>
        <w:rPr>
          <w:rFonts w:ascii="Tahoma" w:hAnsi="Tahoma" w:cs="Tahoma"/>
          <w:sz w:val="20"/>
        </w:rPr>
        <w:t>agosto</w:t>
      </w:r>
      <w:r w:rsidRPr="000026C8">
        <w:rPr>
          <w:rFonts w:ascii="Tahoma" w:hAnsi="Tahoma" w:cs="Tahoma"/>
          <w:sz w:val="20"/>
        </w:rPr>
        <w:t>.</w:t>
      </w:r>
    </w:p>
    <w:p w:rsidR="00213A52" w:rsidRDefault="00213A52" w:rsidP="00213A52">
      <w:pPr>
        <w:spacing w:after="120"/>
        <w:jc w:val="both"/>
        <w:rPr>
          <w:rFonts w:ascii="Tahoma" w:hAnsi="Tahoma" w:cs="Tahoma"/>
          <w:sz w:val="20"/>
        </w:rPr>
      </w:pPr>
      <w:r w:rsidRPr="000026C8">
        <w:rPr>
          <w:rFonts w:ascii="Tahoma" w:hAnsi="Tahoma" w:cs="Tahoma"/>
          <w:sz w:val="20"/>
        </w:rPr>
        <w:t>Importante</w:t>
      </w:r>
      <w:r w:rsidRPr="00373011">
        <w:rPr>
          <w:rFonts w:ascii="Tahoma" w:hAnsi="Tahoma" w:cs="Tahoma"/>
          <w:sz w:val="20"/>
        </w:rPr>
        <w:t xml:space="preserve"> registrar que, embora o Ibovespa seja um índice e não um produto de investimento, é possível replicar sua carteira por meio de fundos de índice (ETF) ou fundo de ações, viabilizando-se assim, a comparação de sua rentabilidade com as demais opções disponíveis no mercado.</w:t>
      </w:r>
    </w:p>
    <w:p w:rsidR="00213A52" w:rsidRPr="00373011" w:rsidRDefault="00213A52" w:rsidP="00213A52">
      <w:pPr>
        <w:spacing w:after="120"/>
        <w:jc w:val="both"/>
        <w:rPr>
          <w:rFonts w:ascii="Tahoma" w:hAnsi="Tahoma" w:cs="Tahoma"/>
          <w:sz w:val="20"/>
        </w:rPr>
      </w:pPr>
    </w:p>
    <w:p w:rsidR="00213A52" w:rsidRPr="00171269" w:rsidRDefault="00213A52" w:rsidP="00213A52">
      <w:pPr>
        <w:spacing w:after="120"/>
        <w:jc w:val="center"/>
        <w:rPr>
          <w:rFonts w:ascii="Tahoma" w:hAnsi="Tahoma" w:cs="Tahoma"/>
        </w:rPr>
      </w:pPr>
      <w:r w:rsidRPr="00BE753A">
        <w:rPr>
          <w:noProof/>
        </w:rPr>
        <w:drawing>
          <wp:inline distT="0" distB="0" distL="0" distR="0">
            <wp:extent cx="4267200" cy="2847043"/>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73535" cy="2851270"/>
                    </a:xfrm>
                    <a:prstGeom prst="rect">
                      <a:avLst/>
                    </a:prstGeom>
                    <a:noFill/>
                    <a:ln>
                      <a:noFill/>
                    </a:ln>
                  </pic:spPr>
                </pic:pic>
              </a:graphicData>
            </a:graphic>
          </wp:inline>
        </w:drawing>
      </w:r>
    </w:p>
    <w:p w:rsidR="00213A52" w:rsidRPr="00171269" w:rsidRDefault="00213A52" w:rsidP="00213A52">
      <w:pPr>
        <w:spacing w:after="0" w:line="240" w:lineRule="auto"/>
        <w:jc w:val="both"/>
        <w:rPr>
          <w:rFonts w:ascii="Tahoma" w:hAnsi="Tahoma" w:cs="Tahoma"/>
          <w:b/>
          <w:bCs/>
          <w:sz w:val="18"/>
          <w:szCs w:val="18"/>
        </w:rPr>
      </w:pPr>
      <w:r w:rsidRPr="00171269">
        <w:rPr>
          <w:rFonts w:ascii="Tahoma" w:hAnsi="Tahoma" w:cs="Tahoma"/>
          <w:b/>
          <w:bCs/>
          <w:sz w:val="18"/>
          <w:szCs w:val="18"/>
        </w:rPr>
        <w:t>Gráfico 9 – Rentabilidade acumulada: IBX</w:t>
      </w:r>
      <w:r>
        <w:rPr>
          <w:rFonts w:ascii="Tahoma" w:hAnsi="Tahoma" w:cs="Tahoma"/>
          <w:b/>
          <w:bCs/>
          <w:sz w:val="18"/>
          <w:szCs w:val="18"/>
        </w:rPr>
        <w:t>-50</w:t>
      </w:r>
      <w:r w:rsidRPr="00171269">
        <w:rPr>
          <w:rFonts w:ascii="Tahoma" w:hAnsi="Tahoma" w:cs="Tahoma"/>
          <w:b/>
          <w:bCs/>
          <w:sz w:val="18"/>
          <w:szCs w:val="18"/>
        </w:rPr>
        <w:t xml:space="preserve"> e IBOVESPA (%)</w:t>
      </w:r>
    </w:p>
    <w:p w:rsidR="00213A52" w:rsidRPr="00171269" w:rsidRDefault="00213A52" w:rsidP="00213A52">
      <w:pPr>
        <w:spacing w:after="0" w:line="240" w:lineRule="auto"/>
        <w:jc w:val="both"/>
        <w:rPr>
          <w:rFonts w:ascii="Tahoma" w:hAnsi="Tahoma" w:cs="Tahoma"/>
          <w:sz w:val="16"/>
          <w:szCs w:val="18"/>
        </w:rPr>
      </w:pPr>
      <w:r w:rsidRPr="00171269">
        <w:rPr>
          <w:rFonts w:ascii="Tahoma" w:hAnsi="Tahoma" w:cs="Tahoma"/>
          <w:sz w:val="16"/>
          <w:szCs w:val="18"/>
        </w:rPr>
        <w:t>Fonte: BM&amp;FBOVESPA.</w:t>
      </w:r>
    </w:p>
    <w:p w:rsidR="00213A52" w:rsidRPr="00171269" w:rsidRDefault="00213A52" w:rsidP="00213A52">
      <w:pPr>
        <w:spacing w:after="0" w:line="240" w:lineRule="auto"/>
        <w:rPr>
          <w:rFonts w:ascii="Tahoma" w:hAnsi="Tahoma" w:cs="Tahoma"/>
          <w:sz w:val="16"/>
          <w:szCs w:val="18"/>
        </w:rPr>
      </w:pPr>
      <w:r w:rsidRPr="00171269">
        <w:rPr>
          <w:rFonts w:ascii="Tahoma" w:hAnsi="Tahoma" w:cs="Tahoma"/>
          <w:sz w:val="16"/>
          <w:szCs w:val="18"/>
        </w:rPr>
        <w:t xml:space="preserve">Nota: Dados até </w:t>
      </w:r>
      <w:r>
        <w:rPr>
          <w:rFonts w:ascii="Tahoma" w:hAnsi="Tahoma" w:cs="Tahoma"/>
          <w:sz w:val="16"/>
          <w:szCs w:val="18"/>
        </w:rPr>
        <w:t>agosto</w:t>
      </w:r>
      <w:r w:rsidRPr="00171269">
        <w:rPr>
          <w:rFonts w:ascii="Tahoma" w:hAnsi="Tahoma" w:cs="Tahoma"/>
          <w:sz w:val="16"/>
          <w:szCs w:val="18"/>
        </w:rPr>
        <w:t xml:space="preserve"> de 201</w:t>
      </w:r>
      <w:r>
        <w:rPr>
          <w:rFonts w:ascii="Tahoma" w:hAnsi="Tahoma" w:cs="Tahoma"/>
          <w:sz w:val="16"/>
          <w:szCs w:val="18"/>
        </w:rPr>
        <w:t>8</w:t>
      </w:r>
      <w:r w:rsidRPr="00171269">
        <w:rPr>
          <w:rFonts w:ascii="Tahoma" w:hAnsi="Tahoma" w:cs="Tahoma"/>
          <w:sz w:val="16"/>
          <w:szCs w:val="18"/>
        </w:rPr>
        <w:t>.</w:t>
      </w:r>
    </w:p>
    <w:p w:rsidR="00213A52" w:rsidRPr="00171269" w:rsidRDefault="00213A52" w:rsidP="00213A52">
      <w:pPr>
        <w:spacing w:after="120"/>
        <w:jc w:val="both"/>
        <w:rPr>
          <w:rFonts w:ascii="Tahoma" w:hAnsi="Tahoma" w:cs="Tahoma"/>
        </w:rPr>
      </w:pPr>
    </w:p>
    <w:p w:rsidR="00213A52" w:rsidRDefault="00213A52" w:rsidP="00213A52">
      <w:pPr>
        <w:spacing w:after="120"/>
        <w:jc w:val="both"/>
        <w:rPr>
          <w:rFonts w:ascii="Tahoma" w:hAnsi="Tahoma" w:cs="Tahoma"/>
          <w:sz w:val="20"/>
        </w:rPr>
      </w:pPr>
    </w:p>
    <w:p w:rsidR="00213A52" w:rsidRDefault="00213A52" w:rsidP="00213A52">
      <w:pPr>
        <w:spacing w:after="120"/>
        <w:jc w:val="both"/>
        <w:rPr>
          <w:rFonts w:ascii="Tahoma" w:hAnsi="Tahoma" w:cs="Tahoma"/>
          <w:sz w:val="20"/>
        </w:rPr>
      </w:pPr>
    </w:p>
    <w:p w:rsidR="00213A52" w:rsidRDefault="00213A52" w:rsidP="00213A52">
      <w:pPr>
        <w:spacing w:after="120"/>
        <w:jc w:val="both"/>
        <w:rPr>
          <w:rFonts w:ascii="Tahoma" w:hAnsi="Tahoma" w:cs="Tahoma"/>
          <w:sz w:val="20"/>
        </w:rPr>
      </w:pPr>
    </w:p>
    <w:p w:rsidR="00213A52" w:rsidRDefault="00213A52" w:rsidP="00213A52">
      <w:pPr>
        <w:spacing w:after="120"/>
        <w:jc w:val="both"/>
        <w:rPr>
          <w:rFonts w:ascii="Tahoma" w:hAnsi="Tahoma" w:cs="Tahoma"/>
          <w:sz w:val="20"/>
        </w:rPr>
      </w:pPr>
    </w:p>
    <w:p w:rsidR="00213A52" w:rsidRPr="00373011" w:rsidRDefault="00213A52" w:rsidP="00213A52">
      <w:pPr>
        <w:spacing w:after="120"/>
        <w:jc w:val="both"/>
        <w:rPr>
          <w:rFonts w:ascii="Tahoma" w:hAnsi="Tahoma" w:cs="Tahoma"/>
          <w:sz w:val="20"/>
        </w:rPr>
      </w:pPr>
      <w:r w:rsidRPr="00373011">
        <w:rPr>
          <w:rFonts w:ascii="Tahoma" w:hAnsi="Tahoma" w:cs="Tahoma"/>
          <w:sz w:val="20"/>
        </w:rPr>
        <w:lastRenderedPageBreak/>
        <w:t>Diante do exposto, percebe-se que o desempenho do setor em 201</w:t>
      </w:r>
      <w:r>
        <w:rPr>
          <w:rFonts w:ascii="Tahoma" w:hAnsi="Tahoma" w:cs="Tahoma"/>
          <w:sz w:val="20"/>
        </w:rPr>
        <w:t>8</w:t>
      </w:r>
      <w:r w:rsidRPr="00373011">
        <w:rPr>
          <w:rFonts w:ascii="Tahoma" w:hAnsi="Tahoma" w:cs="Tahoma"/>
          <w:sz w:val="20"/>
        </w:rPr>
        <w:t xml:space="preserve"> esteve diretamente vinculado às expectativas </w:t>
      </w:r>
      <w:r>
        <w:rPr>
          <w:rFonts w:ascii="Tahoma" w:hAnsi="Tahoma" w:cs="Tahoma"/>
          <w:sz w:val="20"/>
        </w:rPr>
        <w:t>do mercado externo e a questão politica</w:t>
      </w:r>
      <w:r w:rsidRPr="00373011">
        <w:rPr>
          <w:rFonts w:ascii="Tahoma" w:hAnsi="Tahoma" w:cs="Tahoma"/>
          <w:sz w:val="20"/>
        </w:rPr>
        <w:t>.</w:t>
      </w:r>
    </w:p>
    <w:p w:rsidR="00E8601E" w:rsidRPr="00171269" w:rsidRDefault="00213A52" w:rsidP="00213A52">
      <w:pPr>
        <w:spacing w:after="120"/>
        <w:jc w:val="both"/>
        <w:rPr>
          <w:rFonts w:ascii="Tahoma" w:hAnsi="Tahoma" w:cs="Tahoma"/>
          <w:b/>
          <w:color w:val="17365D" w:themeColor="text2" w:themeShade="BF"/>
        </w:rPr>
      </w:pPr>
      <w:r w:rsidRPr="00373011">
        <w:rPr>
          <w:rFonts w:ascii="Tahoma" w:hAnsi="Tahoma" w:cs="Tahoma"/>
          <w:sz w:val="20"/>
        </w:rPr>
        <w:t xml:space="preserve">Importante destacar que o ano de 2018 será marcado por nova eleição presidencial, situação que tende a aumentar as incertezas do mercado e trazer volatilidade aos investimentos, em especial no segmento de renda variável, cuja exposição ao risco é mais acentuada. Nesse sentido, </w:t>
      </w:r>
      <w:r>
        <w:rPr>
          <w:rFonts w:ascii="Tahoma" w:hAnsi="Tahoma" w:cs="Tahoma"/>
          <w:sz w:val="20"/>
        </w:rPr>
        <w:t xml:space="preserve">para 2019, </w:t>
      </w:r>
      <w:r w:rsidRPr="00373011">
        <w:rPr>
          <w:rFonts w:ascii="Tahoma" w:hAnsi="Tahoma" w:cs="Tahoma"/>
          <w:sz w:val="20"/>
        </w:rPr>
        <w:t>recomenda-se novamente a opção por empresas com forte geração de caixa, dívida saudável e demanda com baixa elasticidade</w:t>
      </w:r>
      <w:r w:rsidR="00E8601E" w:rsidRPr="00373011">
        <w:rPr>
          <w:rFonts w:ascii="Tahoma" w:hAnsi="Tahoma" w:cs="Tahoma"/>
          <w:sz w:val="20"/>
        </w:rPr>
        <w:t>.</w:t>
      </w:r>
      <w:r w:rsidR="00E8601E" w:rsidRPr="00171269">
        <w:rPr>
          <w:rFonts w:ascii="Tahoma" w:hAnsi="Tahoma" w:cs="Tahoma"/>
          <w:b/>
          <w:color w:val="17365D" w:themeColor="text2" w:themeShade="BF"/>
        </w:rPr>
        <w:br w:type="page"/>
      </w:r>
    </w:p>
    <w:p w:rsidR="00E8601E" w:rsidRPr="00171269" w:rsidRDefault="00E8601E" w:rsidP="00E8601E">
      <w:pPr>
        <w:spacing w:after="120"/>
        <w:jc w:val="both"/>
        <w:rPr>
          <w:rFonts w:ascii="Tahoma" w:hAnsi="Tahoma" w:cs="Tahoma"/>
          <w:b/>
          <w:color w:val="17365D" w:themeColor="text2" w:themeShade="BF"/>
        </w:rPr>
      </w:pPr>
      <w:bookmarkStart w:id="42" w:name="_Toc436040843"/>
      <w:bookmarkStart w:id="43" w:name="_Toc496874713"/>
      <w:r w:rsidRPr="00A5604A">
        <w:rPr>
          <w:rStyle w:val="Ttulo1Char"/>
          <w:sz w:val="22"/>
        </w:rPr>
        <w:lastRenderedPageBreak/>
        <w:t>CONSIDERAÇÕES GERAIS – CENÁRIO 201</w:t>
      </w:r>
      <w:bookmarkEnd w:id="42"/>
      <w:r w:rsidR="00564AED">
        <w:rPr>
          <w:rStyle w:val="Ttulo1Char"/>
          <w:sz w:val="22"/>
        </w:rPr>
        <w:t>8</w:t>
      </w:r>
      <w:r w:rsidR="00A5604A" w:rsidRPr="00A5604A">
        <w:rPr>
          <w:rStyle w:val="Ttulo1Char"/>
          <w:sz w:val="22"/>
        </w:rPr>
        <w:t>/201</w:t>
      </w:r>
      <w:bookmarkEnd w:id="43"/>
      <w:r w:rsidR="00564AED">
        <w:rPr>
          <w:rStyle w:val="Ttulo1Char"/>
          <w:sz w:val="22"/>
        </w:rPr>
        <w:t>9</w:t>
      </w:r>
      <w:r w:rsidRPr="00171269">
        <w:rPr>
          <w:color w:val="17365D" w:themeColor="text2" w:themeShade="BF"/>
          <w:sz w:val="30"/>
          <w:szCs w:val="30"/>
        </w:rPr>
        <w:object w:dxaOrig="3163" w:dyaOrig="3187">
          <v:shape id="_x0000_i1035" type="#_x0000_t75" style="width:23.25pt;height:23.25pt" o:ole="">
            <v:imagedata r:id="rId10" o:title=""/>
          </v:shape>
          <o:OLEObject Type="Embed" ProgID="CorelDRAW.Graphic.13" ShapeID="_x0000_i1035" DrawAspect="Content" ObjectID="_1608620658" r:id="rId29"/>
        </w:object>
      </w:r>
    </w:p>
    <w:p w:rsidR="00E8601E" w:rsidRPr="00171269" w:rsidRDefault="00E8601E" w:rsidP="00E8601E">
      <w:pPr>
        <w:spacing w:after="120"/>
        <w:jc w:val="both"/>
        <w:rPr>
          <w:rFonts w:ascii="Tahoma" w:hAnsi="Tahoma" w:cs="Tahoma"/>
        </w:rPr>
      </w:pPr>
    </w:p>
    <w:p w:rsidR="00E8601E" w:rsidRPr="00373011" w:rsidRDefault="00E8601E" w:rsidP="00E8601E">
      <w:pPr>
        <w:spacing w:after="120"/>
        <w:jc w:val="both"/>
        <w:rPr>
          <w:rFonts w:ascii="Tahoma" w:hAnsi="Tahoma" w:cs="Tahoma"/>
          <w:sz w:val="20"/>
        </w:rPr>
      </w:pPr>
      <w:r w:rsidRPr="00373011">
        <w:rPr>
          <w:rFonts w:ascii="Tahoma" w:hAnsi="Tahoma" w:cs="Tahoma"/>
          <w:sz w:val="20"/>
        </w:rPr>
        <w:t xml:space="preserve">Para concluir, sublinham-se as possíveis relações acerca das expectativas econômicas associadas ao comportamento efetivo constatado durante o ano de 2017. Fazer estas assimilações ajudará na compreensão para daqui em diante tentar conseguir antecipar os movimentos econômicos e auferir resultados mais consistentes na gestão dos recursos dos regimes próprios de previdência social, </w:t>
      </w:r>
      <w:r w:rsidR="0023730B" w:rsidRPr="0023730B">
        <w:rPr>
          <w:rFonts w:ascii="Tahoma" w:hAnsi="Tahoma" w:cs="Tahoma"/>
          <w:b/>
          <w:sz w:val="20"/>
        </w:rPr>
        <w:t>FUNDO DE PREVIDÊNCIA SOCIAL DO SERVIDOR – FPSS DE RIO DOS ÍNDIOS</w:t>
      </w:r>
      <w:r w:rsidRPr="00373011">
        <w:rPr>
          <w:rFonts w:ascii="Tahoma" w:hAnsi="Tahoma" w:cs="Tahoma"/>
          <w:sz w:val="20"/>
        </w:rPr>
        <w:t xml:space="preserve">neste caso. As expectativas de mercado para o exercício de </w:t>
      </w:r>
      <w:r w:rsidRPr="00373011">
        <w:rPr>
          <w:rFonts w:ascii="Tahoma" w:hAnsi="Tahoma" w:cs="Tahoma"/>
          <w:b/>
          <w:sz w:val="20"/>
        </w:rPr>
        <w:t>201</w:t>
      </w:r>
      <w:r w:rsidR="00564AED">
        <w:rPr>
          <w:rFonts w:ascii="Tahoma" w:hAnsi="Tahoma" w:cs="Tahoma"/>
          <w:b/>
          <w:sz w:val="20"/>
        </w:rPr>
        <w:t>9</w:t>
      </w:r>
      <w:r w:rsidRPr="00373011">
        <w:rPr>
          <w:rFonts w:ascii="Tahoma" w:hAnsi="Tahoma" w:cs="Tahoma"/>
          <w:b/>
          <w:sz w:val="20"/>
        </w:rPr>
        <w:t xml:space="preserve">, até o presente momento, </w:t>
      </w:r>
      <w:r w:rsidRPr="00373011">
        <w:rPr>
          <w:rFonts w:ascii="Tahoma" w:hAnsi="Tahoma" w:cs="Tahoma"/>
          <w:sz w:val="20"/>
        </w:rPr>
        <w:t xml:space="preserve">demonstram um caminho, onde passam por várias ações que dependem principalmente da equipe econômica do país e do governo, o que dificulta o estabelecimento de estratégias consolidadas sem carregar bastantes incertezas e, consequentemente, riscos. </w:t>
      </w:r>
    </w:p>
    <w:p w:rsidR="00213A52" w:rsidRPr="00373011" w:rsidRDefault="00213A52" w:rsidP="00213A52">
      <w:pPr>
        <w:spacing w:after="120"/>
        <w:jc w:val="both"/>
        <w:rPr>
          <w:rFonts w:ascii="Tahoma" w:hAnsi="Tahoma" w:cs="Tahoma"/>
          <w:sz w:val="20"/>
        </w:rPr>
      </w:pPr>
      <w:r w:rsidRPr="00373011">
        <w:rPr>
          <w:rFonts w:ascii="Tahoma" w:hAnsi="Tahoma" w:cs="Tahoma"/>
          <w:sz w:val="20"/>
        </w:rPr>
        <w:t>De um modo geral, todas as projeções para 201</w:t>
      </w:r>
      <w:r>
        <w:rPr>
          <w:rFonts w:ascii="Tahoma" w:hAnsi="Tahoma" w:cs="Tahoma"/>
          <w:sz w:val="20"/>
        </w:rPr>
        <w:t>9</w:t>
      </w:r>
      <w:r w:rsidRPr="00373011">
        <w:rPr>
          <w:rFonts w:ascii="Tahoma" w:hAnsi="Tahoma" w:cs="Tahoma"/>
          <w:sz w:val="20"/>
        </w:rPr>
        <w:t xml:space="preserve"> indicam </w:t>
      </w:r>
      <w:r>
        <w:rPr>
          <w:rFonts w:ascii="Tahoma" w:hAnsi="Tahoma" w:cs="Tahoma"/>
          <w:sz w:val="20"/>
        </w:rPr>
        <w:t>aumento</w:t>
      </w:r>
      <w:r w:rsidRPr="00373011">
        <w:rPr>
          <w:rFonts w:ascii="Tahoma" w:hAnsi="Tahoma" w:cs="Tahoma"/>
          <w:sz w:val="20"/>
        </w:rPr>
        <w:t xml:space="preserve"> na taxa de juros, uma vez que a Selic está </w:t>
      </w:r>
      <w:r>
        <w:rPr>
          <w:rFonts w:ascii="Tahoma" w:hAnsi="Tahoma" w:cs="Tahoma"/>
          <w:sz w:val="20"/>
        </w:rPr>
        <w:t xml:space="preserve">na </w:t>
      </w:r>
      <w:r w:rsidRPr="00373011">
        <w:rPr>
          <w:rFonts w:ascii="Tahoma" w:hAnsi="Tahoma" w:cs="Tahoma"/>
          <w:sz w:val="20"/>
        </w:rPr>
        <w:t xml:space="preserve">sua mínima histórica, a aceleração no crescimento do PIB em relação ao corrente exercício e a inflação </w:t>
      </w:r>
      <w:r>
        <w:rPr>
          <w:rFonts w:ascii="Tahoma" w:hAnsi="Tahoma" w:cs="Tahoma"/>
          <w:sz w:val="20"/>
        </w:rPr>
        <w:t>dentro</w:t>
      </w:r>
      <w:r w:rsidRPr="00373011">
        <w:rPr>
          <w:rFonts w:ascii="Tahoma" w:hAnsi="Tahoma" w:cs="Tahoma"/>
          <w:sz w:val="20"/>
        </w:rPr>
        <w:t xml:space="preserve"> do centro da meta. A priori, a preferência é por carteiras de investimentos atreladas a títulos de menor prazo, contudo, salientando, que eventuais desvios de rumo na condução da atual política econômica poderão interferir na rentabilidade dos ativos, recomendando-se assim, uma saudável diversificação no portfólio.</w:t>
      </w:r>
    </w:p>
    <w:p w:rsidR="00213A52" w:rsidRPr="00373011" w:rsidRDefault="00213A52" w:rsidP="00213A52">
      <w:pPr>
        <w:spacing w:after="120"/>
        <w:jc w:val="both"/>
        <w:rPr>
          <w:rFonts w:ascii="Tahoma" w:hAnsi="Tahoma" w:cs="Tahoma"/>
          <w:sz w:val="20"/>
        </w:rPr>
      </w:pPr>
      <w:r w:rsidRPr="00373011">
        <w:rPr>
          <w:rFonts w:ascii="Tahoma" w:hAnsi="Tahoma" w:cs="Tahoma"/>
          <w:sz w:val="20"/>
        </w:rPr>
        <w:t xml:space="preserve">Neste sentido frisa-se que o mercado já precificou a expectativa de </w:t>
      </w:r>
      <w:r>
        <w:rPr>
          <w:rFonts w:ascii="Tahoma" w:hAnsi="Tahoma" w:cs="Tahoma"/>
          <w:sz w:val="20"/>
        </w:rPr>
        <w:t>manutenção</w:t>
      </w:r>
      <w:r w:rsidRPr="00373011">
        <w:rPr>
          <w:rFonts w:ascii="Tahoma" w:hAnsi="Tahoma" w:cs="Tahoma"/>
          <w:sz w:val="20"/>
        </w:rPr>
        <w:t xml:space="preserve"> de Selic nas projeções atuais de rentabilidade dos ativos, em especial no que se refere ao fechamento de 201</w:t>
      </w:r>
      <w:r>
        <w:rPr>
          <w:rFonts w:ascii="Tahoma" w:hAnsi="Tahoma" w:cs="Tahoma"/>
          <w:sz w:val="20"/>
        </w:rPr>
        <w:t>8</w:t>
      </w:r>
      <w:r w:rsidRPr="00373011">
        <w:rPr>
          <w:rFonts w:ascii="Tahoma" w:hAnsi="Tahoma" w:cs="Tahoma"/>
          <w:sz w:val="20"/>
        </w:rPr>
        <w:t>.</w:t>
      </w:r>
    </w:p>
    <w:p w:rsidR="00213A52" w:rsidRPr="00373011" w:rsidRDefault="00213A52" w:rsidP="00213A52">
      <w:pPr>
        <w:spacing w:after="120"/>
        <w:jc w:val="both"/>
        <w:rPr>
          <w:rFonts w:ascii="Tahoma" w:hAnsi="Tahoma" w:cs="Tahoma"/>
          <w:sz w:val="20"/>
        </w:rPr>
      </w:pPr>
      <w:r w:rsidRPr="00373011">
        <w:rPr>
          <w:rFonts w:ascii="Tahoma" w:hAnsi="Tahoma" w:cs="Tahoma"/>
          <w:sz w:val="20"/>
        </w:rPr>
        <w:t xml:space="preserve">Na renda variável, </w:t>
      </w:r>
      <w:r>
        <w:rPr>
          <w:rFonts w:ascii="Tahoma" w:hAnsi="Tahoma" w:cs="Tahoma"/>
          <w:sz w:val="20"/>
        </w:rPr>
        <w:t>o bom desempenho passa pela</w:t>
      </w:r>
      <w:r w:rsidRPr="00373011">
        <w:rPr>
          <w:rFonts w:ascii="Tahoma" w:hAnsi="Tahoma" w:cs="Tahoma"/>
          <w:sz w:val="20"/>
        </w:rPr>
        <w:t xml:space="preserve"> recuperação da economia</w:t>
      </w:r>
      <w:r>
        <w:rPr>
          <w:rFonts w:ascii="Tahoma" w:hAnsi="Tahoma" w:cs="Tahoma"/>
          <w:sz w:val="20"/>
        </w:rPr>
        <w:t xml:space="preserve"> e os desdobramentos das eleições bem como das incertezas politicas</w:t>
      </w:r>
      <w:r w:rsidRPr="00373011">
        <w:rPr>
          <w:rFonts w:ascii="Tahoma" w:hAnsi="Tahoma" w:cs="Tahoma"/>
          <w:sz w:val="20"/>
        </w:rPr>
        <w:t>. Portanto, reforça-se a cautela nos investimentos em renda variável para o próximo ano</w:t>
      </w:r>
      <w:r>
        <w:rPr>
          <w:rFonts w:ascii="Tahoma" w:hAnsi="Tahoma" w:cs="Tahoma"/>
          <w:sz w:val="20"/>
        </w:rPr>
        <w:t>, sempre procurando uma gestão ativa.</w:t>
      </w:r>
    </w:p>
    <w:p w:rsidR="00A56DE8" w:rsidRPr="00E8601E" w:rsidRDefault="00213A52" w:rsidP="00213A52">
      <w:pPr>
        <w:spacing w:after="120"/>
        <w:jc w:val="both"/>
        <w:rPr>
          <w:rFonts w:ascii="Tahoma" w:hAnsi="Tahoma" w:cs="Tahoma"/>
          <w:b/>
          <w:color w:val="17365D" w:themeColor="text2" w:themeShade="BF"/>
          <w:sz w:val="20"/>
        </w:rPr>
      </w:pPr>
      <w:r w:rsidRPr="00373011">
        <w:rPr>
          <w:rFonts w:ascii="Tahoma" w:hAnsi="Tahoma" w:cs="Tahoma"/>
          <w:sz w:val="20"/>
        </w:rPr>
        <w:t>Assim, recomenda-se uma prudente diversificação nas carteiras de ativos, com preferência para alocação de recursos em investimentos de prazos mais curtos, haja a vista a tendência de manutenção das atuais condições econômicas internas e externas que favoreceram a rentabilidade de tais títulos no decorrer de 201</w:t>
      </w:r>
      <w:r>
        <w:rPr>
          <w:rFonts w:ascii="Tahoma" w:hAnsi="Tahoma" w:cs="Tahoma"/>
          <w:sz w:val="20"/>
        </w:rPr>
        <w:t>9</w:t>
      </w:r>
      <w:r w:rsidR="00E8601E" w:rsidRPr="00373011">
        <w:rPr>
          <w:rFonts w:ascii="Tahoma" w:hAnsi="Tahoma" w:cs="Tahoma"/>
          <w:sz w:val="20"/>
        </w:rPr>
        <w:t>.</w:t>
      </w:r>
    </w:p>
    <w:p w:rsidR="000955A2" w:rsidRPr="00E8601E" w:rsidRDefault="000955A2" w:rsidP="000955A2">
      <w:pPr>
        <w:spacing w:after="120"/>
        <w:jc w:val="both"/>
        <w:rPr>
          <w:rFonts w:ascii="Tahoma" w:hAnsi="Tahoma" w:cs="Tahoma"/>
          <w:b/>
          <w:color w:val="17365D" w:themeColor="text2" w:themeShade="BF"/>
          <w:sz w:val="20"/>
        </w:rPr>
      </w:pPr>
    </w:p>
    <w:p w:rsidR="000955A2" w:rsidRPr="00E8601E" w:rsidRDefault="000955A2" w:rsidP="000955A2">
      <w:pPr>
        <w:spacing w:after="120"/>
        <w:jc w:val="both"/>
        <w:rPr>
          <w:rFonts w:ascii="Tahoma" w:hAnsi="Tahoma" w:cs="Tahoma"/>
          <w:b/>
          <w:color w:val="17365D" w:themeColor="text2" w:themeShade="BF"/>
          <w:sz w:val="20"/>
        </w:rPr>
      </w:pPr>
    </w:p>
    <w:p w:rsidR="000955A2" w:rsidRPr="00E8601E" w:rsidRDefault="000955A2" w:rsidP="000955A2">
      <w:pPr>
        <w:spacing w:after="120"/>
        <w:jc w:val="both"/>
        <w:rPr>
          <w:rFonts w:ascii="Tahoma" w:hAnsi="Tahoma" w:cs="Tahoma"/>
          <w:b/>
          <w:color w:val="17365D" w:themeColor="text2" w:themeShade="BF"/>
          <w:sz w:val="20"/>
        </w:rPr>
      </w:pPr>
    </w:p>
    <w:p w:rsidR="000955A2" w:rsidRPr="00E8601E" w:rsidRDefault="000955A2" w:rsidP="000955A2">
      <w:pPr>
        <w:spacing w:after="120"/>
        <w:jc w:val="both"/>
        <w:rPr>
          <w:rFonts w:ascii="Tahoma" w:hAnsi="Tahoma" w:cs="Tahoma"/>
          <w:b/>
          <w:color w:val="17365D" w:themeColor="text2" w:themeShade="BF"/>
          <w:sz w:val="20"/>
        </w:rPr>
      </w:pPr>
    </w:p>
    <w:p w:rsidR="00EB093F" w:rsidRDefault="00EB093F" w:rsidP="00EB093F">
      <w:pPr>
        <w:spacing w:after="120"/>
        <w:jc w:val="both"/>
        <w:rPr>
          <w:rFonts w:ascii="Tahoma" w:hAnsi="Tahoma" w:cs="Tahoma"/>
          <w:b/>
          <w:color w:val="17365D" w:themeColor="text2" w:themeShade="BF"/>
          <w:sz w:val="20"/>
        </w:rPr>
      </w:pPr>
    </w:p>
    <w:p w:rsidR="00C44074" w:rsidRPr="00E8601E" w:rsidRDefault="00C44074" w:rsidP="00EB093F">
      <w:pPr>
        <w:spacing w:after="120"/>
        <w:jc w:val="both"/>
        <w:rPr>
          <w:rFonts w:ascii="Tahoma" w:hAnsi="Tahoma" w:cs="Tahoma"/>
          <w:b/>
          <w:color w:val="17365D" w:themeColor="text2" w:themeShade="BF"/>
          <w:sz w:val="20"/>
        </w:rPr>
      </w:pPr>
    </w:p>
    <w:p w:rsidR="00EB093F" w:rsidRPr="00E8601E" w:rsidRDefault="00EB093F" w:rsidP="00560568">
      <w:pPr>
        <w:rPr>
          <w:rFonts w:ascii="Tahoma" w:hAnsi="Tahoma" w:cs="Tahoma"/>
          <w:b/>
          <w:color w:val="17365D" w:themeColor="text2" w:themeShade="BF"/>
          <w:sz w:val="20"/>
        </w:rPr>
      </w:pPr>
      <w:bookmarkStart w:id="44" w:name="_Toc436036994"/>
    </w:p>
    <w:p w:rsidR="009F2D42" w:rsidRDefault="009F2D42" w:rsidP="00560568">
      <w:pPr>
        <w:rPr>
          <w:rStyle w:val="Ttulo1Char"/>
          <w:sz w:val="22"/>
        </w:rPr>
      </w:pPr>
    </w:p>
    <w:p w:rsidR="00213A52" w:rsidRPr="00E8601E" w:rsidRDefault="00213A52" w:rsidP="00560568">
      <w:pPr>
        <w:rPr>
          <w:rStyle w:val="Ttulo1Char"/>
          <w:sz w:val="22"/>
        </w:rPr>
      </w:pPr>
    </w:p>
    <w:p w:rsidR="00795CD7" w:rsidRPr="00E8601E" w:rsidRDefault="00795CD7" w:rsidP="00560568">
      <w:pPr>
        <w:rPr>
          <w:rFonts w:ascii="Tahoma" w:hAnsi="Tahoma" w:cs="Tahoma"/>
          <w:sz w:val="20"/>
        </w:rPr>
      </w:pPr>
      <w:bookmarkStart w:id="45" w:name="_Toc496874714"/>
      <w:r w:rsidRPr="00E8601E">
        <w:rPr>
          <w:rStyle w:val="Ttulo1Char"/>
          <w:sz w:val="22"/>
        </w:rPr>
        <w:lastRenderedPageBreak/>
        <w:t>CONTROLE DE RISCOS</w:t>
      </w:r>
      <w:bookmarkEnd w:id="44"/>
      <w:bookmarkEnd w:id="45"/>
      <w:r w:rsidRPr="00E8601E">
        <w:rPr>
          <w:sz w:val="20"/>
        </w:rPr>
        <w:object w:dxaOrig="3163" w:dyaOrig="3187">
          <v:shape id="_x0000_i1036" type="#_x0000_t75" style="width:23.25pt;height:23.25pt" o:ole="">
            <v:imagedata r:id="rId10" o:title=""/>
          </v:shape>
          <o:OLEObject Type="Embed" ProgID="CorelDRAW.Graphic.13" ShapeID="_x0000_i1036" DrawAspect="Content" ObjectID="_1608620659" r:id="rId30"/>
        </w:object>
      </w:r>
    </w:p>
    <w:p w:rsidR="00795CD7" w:rsidRPr="00E8601E" w:rsidRDefault="00795CD7" w:rsidP="00853F94">
      <w:pPr>
        <w:spacing w:after="120"/>
        <w:jc w:val="both"/>
        <w:rPr>
          <w:rFonts w:ascii="Tahoma" w:hAnsi="Tahoma" w:cs="Tahoma"/>
          <w:sz w:val="20"/>
        </w:rPr>
      </w:pPr>
    </w:p>
    <w:p w:rsidR="00853F94" w:rsidRPr="00E8601E" w:rsidRDefault="00853F94" w:rsidP="00853F94">
      <w:pPr>
        <w:spacing w:after="120"/>
        <w:jc w:val="both"/>
        <w:rPr>
          <w:rFonts w:ascii="Tahoma" w:hAnsi="Tahoma" w:cs="Tahoma"/>
          <w:sz w:val="20"/>
        </w:rPr>
      </w:pPr>
      <w:r w:rsidRPr="00E8601E">
        <w:rPr>
          <w:rFonts w:ascii="Tahoma" w:hAnsi="Tahoma" w:cs="Tahoma"/>
          <w:sz w:val="20"/>
        </w:rPr>
        <w:t xml:space="preserve">Os riscos podem ser associados a diferentes cenários. Na hipótese de a equipe de política econômica do governo ter suas convicções efetivadas, certamente, o patamar de juros da economia não permitirá que seja tranquilo o alcance da meta atuarial por parte dos investidores institucionais, porém possibilitará uma tendência clara a investimentos alternativos, renda variável e outros segmentos, com a confiança de que a atividade econômica confirme suas perspectivas. Sem a volta do crescimento econômico, existirá uma tendência para ganhos ainda satisfatórios na renda fixa. Por outro lado, se a persistência do governo desencadear uma instabilidade econômica, elevação de preços, com baixa ou moderada recuperação da economia, os riscos inerentes às carteiras de ativos associados a juros e inflação sofrerão com rendimentos insatisfatórios. No caso de recuperação moderada da economia, o risco é mais acentuado. Se a recuperação econômica não se confirmar, a situação fica mais incerta, pois teríamos pressão inflacionária com crescimento baixo. A partir de todos os cenários engendrados, apenas um mantém certa comodidade para atingir meta atuarial e garantir retornos satisfatórios com a renda fixa no patamar atual de juros. </w:t>
      </w:r>
      <w:r w:rsidR="00592455" w:rsidRPr="00E8601E">
        <w:rPr>
          <w:rFonts w:ascii="Tahoma" w:hAnsi="Tahoma" w:cs="Tahoma"/>
          <w:sz w:val="20"/>
        </w:rPr>
        <w:t>Por conseguinte,</w:t>
      </w:r>
      <w:r w:rsidRPr="00E8601E">
        <w:rPr>
          <w:rFonts w:ascii="Tahoma" w:hAnsi="Tahoma" w:cs="Tahoma"/>
          <w:sz w:val="20"/>
        </w:rPr>
        <w:t xml:space="preserve"> é preciso analisar e acompanhar investimentos alternativos. </w:t>
      </w:r>
    </w:p>
    <w:p w:rsidR="00853F94" w:rsidRPr="00E8601E" w:rsidRDefault="00853F94" w:rsidP="00853F94">
      <w:pPr>
        <w:spacing w:after="120"/>
        <w:jc w:val="both"/>
        <w:rPr>
          <w:rFonts w:ascii="Tahoma" w:hAnsi="Tahoma" w:cs="Tahoma"/>
          <w:sz w:val="20"/>
        </w:rPr>
      </w:pPr>
      <w:r w:rsidRPr="00E8601E">
        <w:rPr>
          <w:rFonts w:ascii="Tahoma" w:hAnsi="Tahoma" w:cs="Tahoma"/>
          <w:sz w:val="20"/>
        </w:rPr>
        <w:t>É relevante mencionar que qualquer aplicação financeira está sujeita à incidência de fatores de risco que podem afetar adversamente o seu retorno, entre eles:</w:t>
      </w:r>
    </w:p>
    <w:p w:rsidR="00853F94" w:rsidRPr="00E8601E" w:rsidRDefault="00853F94" w:rsidP="00853F94">
      <w:pPr>
        <w:spacing w:after="120"/>
        <w:jc w:val="both"/>
        <w:rPr>
          <w:rFonts w:ascii="Tahoma" w:hAnsi="Tahoma" w:cs="Tahoma"/>
          <w:sz w:val="20"/>
        </w:rPr>
      </w:pPr>
      <w:r w:rsidRPr="00E8601E">
        <w:rPr>
          <w:rFonts w:ascii="Tahoma" w:hAnsi="Tahoma" w:cs="Tahoma"/>
          <w:sz w:val="20"/>
        </w:rPr>
        <w:t> Risco de Mercado – é o risco inerente a todas as modalidades de aplicações financeiras disponíveis no mercado financeiro; corresponde à incerteza em relação ao resultado de um investimento financeiro ou de uma carteira de investimento, em decorrência de mudanças futuras nas condições de mercado. É o risco de variações, oscilações nas taxas e preços de mercado, tais como taxa de juros, preços de ações e outros índices. É ligado às oscilações do mercado financeiro.</w:t>
      </w:r>
    </w:p>
    <w:p w:rsidR="00853F94" w:rsidRPr="00E8601E" w:rsidRDefault="00853F94" w:rsidP="00853F94">
      <w:pPr>
        <w:spacing w:after="120"/>
        <w:jc w:val="both"/>
        <w:rPr>
          <w:rFonts w:ascii="Tahoma" w:hAnsi="Tahoma" w:cs="Tahoma"/>
          <w:sz w:val="20"/>
        </w:rPr>
      </w:pPr>
      <w:r w:rsidRPr="00E8601E">
        <w:rPr>
          <w:rFonts w:ascii="Tahoma" w:hAnsi="Tahoma" w:cs="Tahoma"/>
          <w:sz w:val="20"/>
        </w:rPr>
        <w:t> Risco de Crédito - também conhecido como risco institucional ou de contraparte, é aquele em que há a possibilidade de o retorno de investimento não ser honrado pela instituição que emitiu determinado título, na data e nas condições negociadas e contratadas;</w:t>
      </w:r>
    </w:p>
    <w:p w:rsidR="00853F94" w:rsidRPr="00E8601E" w:rsidRDefault="00853F94" w:rsidP="00853F94">
      <w:pPr>
        <w:spacing w:after="120"/>
        <w:jc w:val="both"/>
        <w:rPr>
          <w:rFonts w:ascii="Tahoma" w:hAnsi="Tahoma" w:cs="Tahoma"/>
          <w:sz w:val="20"/>
        </w:rPr>
      </w:pPr>
      <w:r w:rsidRPr="00E8601E">
        <w:rPr>
          <w:rFonts w:ascii="Tahoma" w:hAnsi="Tahoma" w:cs="Tahoma"/>
          <w:sz w:val="20"/>
        </w:rPr>
        <w:t> Risco de Liquidez - surge da dificuldade em se conseguir encontrar compradores potenciais de um determinado ativo no momento e no preço desejado. Ocorre quando um ativo está com baixo volume de negócios e apresenta grandes diferenças entre o preço que o comprador está disposto a pagar (oferta de compra) e aquele que o vendedor gostaria de vender (oferta de venda). Quando é necessário vender algum ativo num mercado ilíquido, tende a ser difícil conseguir realizar a venda sem sacrificar o preço do ativo negociado.</w:t>
      </w:r>
    </w:p>
    <w:p w:rsidR="0049303D" w:rsidRPr="00E8601E" w:rsidRDefault="0049303D" w:rsidP="004602FE">
      <w:pPr>
        <w:spacing w:after="120"/>
        <w:jc w:val="both"/>
        <w:rPr>
          <w:rFonts w:ascii="Tahoma" w:hAnsi="Tahoma" w:cs="Tahoma"/>
          <w:sz w:val="20"/>
        </w:rPr>
      </w:pPr>
    </w:p>
    <w:p w:rsidR="0049303D" w:rsidRPr="00E8601E" w:rsidRDefault="0049303D" w:rsidP="004602FE">
      <w:pPr>
        <w:spacing w:after="120"/>
        <w:jc w:val="both"/>
        <w:rPr>
          <w:rFonts w:ascii="Tahoma" w:hAnsi="Tahoma" w:cs="Tahoma"/>
          <w:sz w:val="20"/>
        </w:rPr>
      </w:pPr>
    </w:p>
    <w:p w:rsidR="00E876E6" w:rsidRPr="00E8601E" w:rsidRDefault="00E876E6">
      <w:pPr>
        <w:rPr>
          <w:sz w:val="20"/>
        </w:rPr>
      </w:pPr>
      <w:r w:rsidRPr="00E8601E">
        <w:rPr>
          <w:sz w:val="20"/>
        </w:rPr>
        <w:br w:type="page"/>
      </w:r>
    </w:p>
    <w:p w:rsidR="0049303D" w:rsidRPr="00E8601E" w:rsidRDefault="00E876E6" w:rsidP="00E876E6">
      <w:pPr>
        <w:pStyle w:val="Ttulo1"/>
        <w:rPr>
          <w:sz w:val="22"/>
        </w:rPr>
      </w:pPr>
      <w:bookmarkStart w:id="46" w:name="_Toc496874715"/>
      <w:r w:rsidRPr="00E8601E">
        <w:rPr>
          <w:sz w:val="22"/>
        </w:rPr>
        <w:lastRenderedPageBreak/>
        <w:t xml:space="preserve">GLOSSÁRIO </w:t>
      </w:r>
      <w:bookmarkEnd w:id="46"/>
      <w:r w:rsidRPr="00E8601E">
        <w:rPr>
          <w:sz w:val="22"/>
        </w:rPr>
        <w:object w:dxaOrig="3163" w:dyaOrig="3187">
          <v:shape id="_x0000_i1037" type="#_x0000_t75" style="width:23.25pt;height:23.25pt" o:ole="">
            <v:imagedata r:id="rId10" o:title=""/>
          </v:shape>
          <o:OLEObject Type="Embed" ProgID="CorelDRAW.Graphic.13" ShapeID="_x0000_i1037" DrawAspect="Content" ObjectID="_1608620660" r:id="rId31"/>
        </w:object>
      </w:r>
    </w:p>
    <w:p w:rsidR="00E876E6" w:rsidRPr="00E8601E" w:rsidRDefault="00E876E6" w:rsidP="0049303D">
      <w:pPr>
        <w:rPr>
          <w:sz w:val="20"/>
        </w:rPr>
      </w:pPr>
    </w:p>
    <w:p w:rsidR="007A3EAC" w:rsidRPr="007A3EAC" w:rsidRDefault="007A3EAC" w:rsidP="007A3EAC">
      <w:pPr>
        <w:spacing w:after="120"/>
        <w:jc w:val="both"/>
        <w:rPr>
          <w:rFonts w:ascii="Tahoma" w:hAnsi="Tahoma" w:cs="Tahoma"/>
          <w:sz w:val="20"/>
        </w:rPr>
      </w:pPr>
      <w:r w:rsidRPr="007A3EAC">
        <w:rPr>
          <w:rFonts w:ascii="Tahoma" w:hAnsi="Tahoma" w:cs="Tahoma"/>
          <w:b/>
          <w:sz w:val="20"/>
        </w:rPr>
        <w:t xml:space="preserve">Ação - </w:t>
      </w:r>
      <w:r w:rsidRPr="007A3EAC">
        <w:rPr>
          <w:rFonts w:ascii="Tahoma" w:hAnsi="Tahoma" w:cs="Tahoma"/>
          <w:sz w:val="20"/>
        </w:rPr>
        <w:t>Título negociável que representa a menor parcela em que se divide o capital de uma sociedade anônima;</w:t>
      </w:r>
    </w:p>
    <w:p w:rsidR="007A3EAC" w:rsidRPr="007A3EAC" w:rsidRDefault="007A3EAC" w:rsidP="007A3EAC">
      <w:pPr>
        <w:spacing w:after="120"/>
        <w:jc w:val="both"/>
        <w:rPr>
          <w:rFonts w:ascii="Tahoma" w:hAnsi="Tahoma" w:cs="Tahoma"/>
          <w:sz w:val="20"/>
        </w:rPr>
      </w:pPr>
      <w:r w:rsidRPr="007A3EAC">
        <w:rPr>
          <w:rFonts w:ascii="Tahoma" w:hAnsi="Tahoma" w:cs="Tahoma"/>
          <w:b/>
          <w:sz w:val="20"/>
        </w:rPr>
        <w:t xml:space="preserve">Administrador - </w:t>
      </w:r>
      <w:r w:rsidRPr="007A3EAC">
        <w:rPr>
          <w:rFonts w:ascii="Tahoma" w:hAnsi="Tahoma" w:cs="Tahoma"/>
          <w:sz w:val="20"/>
        </w:rPr>
        <w:t>Responsável legal pelo fundo de investimento. O admi</w:t>
      </w:r>
      <w:r w:rsidR="0029090D">
        <w:rPr>
          <w:rFonts w:ascii="Tahoma" w:hAnsi="Tahoma" w:cs="Tahoma"/>
          <w:sz w:val="20"/>
        </w:rPr>
        <w:t>ni</w:t>
      </w:r>
      <w:r w:rsidRPr="007A3EAC">
        <w:rPr>
          <w:rFonts w:ascii="Tahoma" w:hAnsi="Tahoma" w:cs="Tahoma"/>
          <w:sz w:val="20"/>
        </w:rPr>
        <w:t>strador responde por qualquer inobservância ao regulamento e realiza o controle das cotas do fundo;</w:t>
      </w:r>
    </w:p>
    <w:p w:rsidR="007A3EAC" w:rsidRPr="007A3EAC" w:rsidRDefault="007A3EAC" w:rsidP="007A3EAC">
      <w:pPr>
        <w:spacing w:after="120"/>
        <w:jc w:val="both"/>
        <w:rPr>
          <w:rFonts w:ascii="Tahoma" w:hAnsi="Tahoma" w:cs="Tahoma"/>
          <w:b/>
          <w:sz w:val="20"/>
        </w:rPr>
      </w:pPr>
      <w:r w:rsidRPr="007A3EAC">
        <w:rPr>
          <w:rFonts w:ascii="Tahoma" w:hAnsi="Tahoma" w:cs="Tahoma"/>
          <w:b/>
          <w:sz w:val="20"/>
        </w:rPr>
        <w:t xml:space="preserve">Aplicação - </w:t>
      </w:r>
      <w:r w:rsidRPr="007A3EAC">
        <w:rPr>
          <w:rFonts w:ascii="Tahoma" w:hAnsi="Tahoma" w:cs="Tahoma"/>
          <w:sz w:val="20"/>
        </w:rPr>
        <w:t>Emprego da poupança na aquisição de títulos com objetivo de obter rendimentos;</w:t>
      </w:r>
    </w:p>
    <w:p w:rsidR="007A3EAC" w:rsidRPr="007A3EAC" w:rsidRDefault="007A3EAC" w:rsidP="007A3EAC">
      <w:pPr>
        <w:spacing w:after="120"/>
        <w:jc w:val="both"/>
        <w:rPr>
          <w:rFonts w:ascii="Tahoma" w:hAnsi="Tahoma" w:cs="Tahoma"/>
          <w:sz w:val="20"/>
        </w:rPr>
      </w:pPr>
      <w:r w:rsidRPr="007A3EAC">
        <w:rPr>
          <w:rFonts w:ascii="Tahoma" w:hAnsi="Tahoma" w:cs="Tahoma"/>
          <w:b/>
          <w:sz w:val="20"/>
        </w:rPr>
        <w:t xml:space="preserve">Ativos - </w:t>
      </w:r>
      <w:r w:rsidRPr="007A3EAC">
        <w:rPr>
          <w:rFonts w:ascii="Tahoma" w:hAnsi="Tahoma" w:cs="Tahoma"/>
          <w:sz w:val="20"/>
        </w:rPr>
        <w:t>Bens, direitos e valores pertencentes a uma empresa ou pessoa como imóveis, dinheiro aplicado e ações;</w:t>
      </w:r>
    </w:p>
    <w:p w:rsidR="007A3EAC" w:rsidRPr="007A3EAC" w:rsidRDefault="007A3EAC" w:rsidP="007A3EAC">
      <w:pPr>
        <w:spacing w:after="120"/>
        <w:jc w:val="both"/>
        <w:rPr>
          <w:rFonts w:ascii="Tahoma" w:hAnsi="Tahoma" w:cs="Tahoma"/>
          <w:sz w:val="20"/>
        </w:rPr>
      </w:pPr>
      <w:r w:rsidRPr="007A3EAC">
        <w:rPr>
          <w:rFonts w:ascii="Tahoma" w:hAnsi="Tahoma" w:cs="Tahoma"/>
          <w:b/>
          <w:sz w:val="20"/>
        </w:rPr>
        <w:t xml:space="preserve">Benchmark - </w:t>
      </w:r>
      <w:r w:rsidRPr="007A3EAC">
        <w:rPr>
          <w:rFonts w:ascii="Tahoma" w:hAnsi="Tahoma" w:cs="Tahoma"/>
          <w:sz w:val="20"/>
        </w:rPr>
        <w:t>Todos os fundos tentam seguir ou superar um benchmark. É uma forma de prestar contas aos cotistas do fundo. A idéia básica é eleger um modelo e seguir em busca de igualação ou superação a esse modelo (Benchmark);</w:t>
      </w:r>
    </w:p>
    <w:p w:rsidR="007A3EAC" w:rsidRPr="007A3EAC" w:rsidRDefault="007A3EAC" w:rsidP="007A3EAC">
      <w:pPr>
        <w:spacing w:after="120"/>
        <w:jc w:val="both"/>
        <w:rPr>
          <w:rFonts w:ascii="Tahoma" w:hAnsi="Tahoma" w:cs="Tahoma"/>
          <w:sz w:val="20"/>
        </w:rPr>
      </w:pPr>
      <w:r w:rsidRPr="007A3EAC">
        <w:rPr>
          <w:rFonts w:ascii="Tahoma" w:hAnsi="Tahoma" w:cs="Tahoma"/>
          <w:b/>
          <w:sz w:val="20"/>
        </w:rPr>
        <w:t xml:space="preserve">CDI (Certificado de Depósito Interbancário) - </w:t>
      </w:r>
      <w:r w:rsidRPr="007A3EAC">
        <w:rPr>
          <w:rFonts w:ascii="Tahoma" w:hAnsi="Tahoma" w:cs="Tahoma"/>
          <w:sz w:val="20"/>
        </w:rPr>
        <w:t xml:space="preserve">Certificado negociado exclusivamente entre bancos. </w:t>
      </w:r>
    </w:p>
    <w:p w:rsidR="007A3EAC" w:rsidRPr="007A3EAC" w:rsidRDefault="007A3EAC" w:rsidP="007A3EAC">
      <w:pPr>
        <w:spacing w:after="120"/>
        <w:jc w:val="both"/>
        <w:rPr>
          <w:rFonts w:ascii="Tahoma" w:hAnsi="Tahoma" w:cs="Tahoma"/>
          <w:sz w:val="20"/>
        </w:rPr>
      </w:pPr>
      <w:r w:rsidRPr="007A3EAC">
        <w:rPr>
          <w:rFonts w:ascii="Tahoma" w:hAnsi="Tahoma" w:cs="Tahoma"/>
          <w:b/>
          <w:sz w:val="20"/>
        </w:rPr>
        <w:t xml:space="preserve">CMN (Conselho Monetário Nacional) - </w:t>
      </w:r>
      <w:r w:rsidRPr="007A3EAC">
        <w:rPr>
          <w:rFonts w:ascii="Tahoma" w:hAnsi="Tahoma" w:cs="Tahoma"/>
          <w:sz w:val="20"/>
        </w:rPr>
        <w:t>Órgão federal responsável pela formulação da política da moeda e do crédito e pela orientação, regulamentação e controle de todas as atividades financeiras desenvolvidas no país.</w:t>
      </w:r>
    </w:p>
    <w:p w:rsidR="007A3EAC" w:rsidRPr="007A3EAC" w:rsidRDefault="007A3EAC" w:rsidP="007A3EAC">
      <w:pPr>
        <w:spacing w:after="120"/>
        <w:jc w:val="both"/>
        <w:rPr>
          <w:rFonts w:ascii="Tahoma" w:hAnsi="Tahoma" w:cs="Tahoma"/>
          <w:b/>
          <w:sz w:val="20"/>
        </w:rPr>
      </w:pPr>
      <w:r w:rsidRPr="007A3EAC">
        <w:rPr>
          <w:rFonts w:ascii="Tahoma" w:hAnsi="Tahoma" w:cs="Tahoma"/>
          <w:b/>
          <w:sz w:val="20"/>
        </w:rPr>
        <w:t xml:space="preserve">Copom - </w:t>
      </w:r>
      <w:r w:rsidRPr="007A3EAC">
        <w:rPr>
          <w:rFonts w:ascii="Tahoma" w:hAnsi="Tahoma" w:cs="Tahoma"/>
          <w:sz w:val="20"/>
        </w:rPr>
        <w:t>Comitê de Política Monetária do Banco Central. Comitê que tem por objetivo estabelecer as diretrizes da política monetária e definir a taxa básica de juros;</w:t>
      </w:r>
    </w:p>
    <w:p w:rsidR="007A3EAC" w:rsidRPr="007A3EAC" w:rsidRDefault="007A3EAC" w:rsidP="007A3EAC">
      <w:pPr>
        <w:spacing w:after="120"/>
        <w:jc w:val="both"/>
        <w:rPr>
          <w:rFonts w:ascii="Tahoma" w:hAnsi="Tahoma" w:cs="Tahoma"/>
          <w:sz w:val="20"/>
        </w:rPr>
      </w:pPr>
      <w:r w:rsidRPr="007A3EAC">
        <w:rPr>
          <w:rFonts w:ascii="Tahoma" w:hAnsi="Tahoma" w:cs="Tahoma"/>
          <w:b/>
          <w:sz w:val="20"/>
        </w:rPr>
        <w:t xml:space="preserve">Cota - </w:t>
      </w:r>
      <w:r w:rsidRPr="007A3EAC">
        <w:rPr>
          <w:rFonts w:ascii="Tahoma" w:hAnsi="Tahoma" w:cs="Tahoma"/>
          <w:sz w:val="20"/>
        </w:rPr>
        <w:t>Fração de um fundo;</w:t>
      </w:r>
    </w:p>
    <w:p w:rsidR="007A3EAC" w:rsidRPr="007A3EAC" w:rsidRDefault="007A3EAC" w:rsidP="007A3EAC">
      <w:pPr>
        <w:spacing w:after="120"/>
        <w:jc w:val="both"/>
        <w:rPr>
          <w:rFonts w:ascii="Tahoma" w:hAnsi="Tahoma" w:cs="Tahoma"/>
          <w:sz w:val="20"/>
        </w:rPr>
      </w:pPr>
      <w:r w:rsidRPr="007A3EAC">
        <w:rPr>
          <w:rFonts w:ascii="Tahoma" w:hAnsi="Tahoma" w:cs="Tahoma"/>
          <w:b/>
          <w:sz w:val="20"/>
        </w:rPr>
        <w:t xml:space="preserve">CVM (Comissão de Valores Mobiliários) - </w:t>
      </w:r>
      <w:r w:rsidRPr="007A3EAC">
        <w:rPr>
          <w:rFonts w:ascii="Tahoma" w:hAnsi="Tahoma" w:cs="Tahoma"/>
          <w:sz w:val="20"/>
        </w:rPr>
        <w:t>órgão federal, com sede no Rio de Janeiro, que disciplina e fiscaliza o mercado de valores mobiliários;</w:t>
      </w:r>
    </w:p>
    <w:p w:rsidR="007A3EAC" w:rsidRPr="007A3EAC" w:rsidRDefault="007A3EAC" w:rsidP="007A3EAC">
      <w:pPr>
        <w:spacing w:after="120"/>
        <w:jc w:val="both"/>
        <w:rPr>
          <w:rFonts w:ascii="Tahoma" w:hAnsi="Tahoma" w:cs="Tahoma"/>
          <w:sz w:val="20"/>
        </w:rPr>
      </w:pPr>
      <w:r w:rsidRPr="007A3EAC">
        <w:rPr>
          <w:rFonts w:ascii="Tahoma" w:hAnsi="Tahoma" w:cs="Tahoma"/>
          <w:b/>
          <w:sz w:val="20"/>
        </w:rPr>
        <w:t xml:space="preserve">Duração (Duration) - </w:t>
      </w:r>
      <w:r w:rsidRPr="007A3EAC">
        <w:rPr>
          <w:rFonts w:ascii="Tahoma" w:hAnsi="Tahoma" w:cs="Tahoma"/>
          <w:sz w:val="20"/>
        </w:rPr>
        <w:t>Medida da sensibilidade do preço de valores mobiliários de renda fixa em relação a mudanças nas taxas de juros de mercado;</w:t>
      </w:r>
    </w:p>
    <w:p w:rsidR="007A3EAC" w:rsidRPr="007A3EAC" w:rsidRDefault="007A3EAC" w:rsidP="007A3EAC">
      <w:pPr>
        <w:spacing w:after="120"/>
        <w:jc w:val="both"/>
        <w:rPr>
          <w:rFonts w:ascii="Tahoma" w:hAnsi="Tahoma" w:cs="Tahoma"/>
          <w:sz w:val="20"/>
        </w:rPr>
      </w:pPr>
      <w:r w:rsidRPr="007A3EAC">
        <w:rPr>
          <w:rFonts w:ascii="Tahoma" w:hAnsi="Tahoma" w:cs="Tahoma"/>
          <w:b/>
          <w:sz w:val="20"/>
        </w:rPr>
        <w:t xml:space="preserve">Gestor - </w:t>
      </w:r>
      <w:r w:rsidRPr="007A3EAC">
        <w:rPr>
          <w:rFonts w:ascii="Tahoma" w:hAnsi="Tahoma" w:cs="Tahoma"/>
          <w:sz w:val="20"/>
        </w:rPr>
        <w:t>Responsável pela gestão do fundo de investimento ou gestão dos recursos;</w:t>
      </w:r>
    </w:p>
    <w:p w:rsidR="007A3EAC" w:rsidRPr="007A3EAC" w:rsidRDefault="007A3EAC" w:rsidP="007A3EAC">
      <w:pPr>
        <w:spacing w:after="120"/>
        <w:jc w:val="both"/>
        <w:rPr>
          <w:rFonts w:ascii="Tahoma" w:hAnsi="Tahoma" w:cs="Tahoma"/>
          <w:sz w:val="20"/>
        </w:rPr>
      </w:pPr>
      <w:r w:rsidRPr="007A3EAC">
        <w:rPr>
          <w:rFonts w:ascii="Tahoma" w:hAnsi="Tahoma" w:cs="Tahoma"/>
          <w:b/>
          <w:sz w:val="20"/>
        </w:rPr>
        <w:t xml:space="preserve">Ibovespa (Índice Bovespa) - </w:t>
      </w:r>
      <w:r w:rsidRPr="007A3EAC">
        <w:rPr>
          <w:rFonts w:ascii="Tahoma" w:hAnsi="Tahoma" w:cs="Tahoma"/>
          <w:sz w:val="20"/>
        </w:rPr>
        <w:t xml:space="preserve">Índice da Bolsa de Valores de São Paulo. Mede a lucratividade de uma carteira hipotética das ações mais negociadas na Bovespa. </w:t>
      </w:r>
    </w:p>
    <w:p w:rsidR="007A3EAC" w:rsidRPr="007A3EAC" w:rsidRDefault="007A3EAC" w:rsidP="007A3EAC">
      <w:pPr>
        <w:spacing w:after="120"/>
        <w:jc w:val="both"/>
        <w:rPr>
          <w:rFonts w:ascii="Tahoma" w:hAnsi="Tahoma" w:cs="Tahoma"/>
          <w:b/>
          <w:sz w:val="20"/>
        </w:rPr>
      </w:pPr>
      <w:r w:rsidRPr="007A3EAC">
        <w:rPr>
          <w:rFonts w:ascii="Tahoma" w:hAnsi="Tahoma" w:cs="Tahoma"/>
          <w:b/>
          <w:sz w:val="20"/>
        </w:rPr>
        <w:t xml:space="preserve">IBX (Índice Brasil) - </w:t>
      </w:r>
      <w:r w:rsidRPr="007A3EAC">
        <w:rPr>
          <w:rFonts w:ascii="Tahoma" w:hAnsi="Tahoma" w:cs="Tahoma"/>
          <w:sz w:val="20"/>
        </w:rPr>
        <w:t>Índice que mede o retorno de uma carteira hipotética composta pelas 100 ações selecionadas entre as mais negociadas na Bovespa em termos de número de negócios e volume financeiro;</w:t>
      </w:r>
    </w:p>
    <w:p w:rsidR="004602FE" w:rsidRPr="007A3EAC" w:rsidRDefault="007A3EAC" w:rsidP="007A3EAC">
      <w:pPr>
        <w:spacing w:after="120"/>
        <w:jc w:val="both"/>
        <w:rPr>
          <w:rFonts w:ascii="Tahoma" w:hAnsi="Tahoma" w:cs="Tahoma"/>
          <w:sz w:val="20"/>
        </w:rPr>
      </w:pPr>
      <w:r w:rsidRPr="007A3EAC">
        <w:rPr>
          <w:rFonts w:ascii="Tahoma" w:hAnsi="Tahoma" w:cs="Tahoma"/>
          <w:b/>
          <w:sz w:val="20"/>
        </w:rPr>
        <w:t xml:space="preserve">IMA – </w:t>
      </w:r>
      <w:r w:rsidRPr="007A3EAC">
        <w:rPr>
          <w:rFonts w:ascii="Tahoma" w:hAnsi="Tahoma" w:cs="Tahoma"/>
          <w:sz w:val="20"/>
        </w:rPr>
        <w:t>Índice de Mercado ANBIMA - O IMA é uma família de índices de renda fixa, que representa a evolução da carteira de títulos públicos federais a preços de mercado, com abrangência aproximada de 97% desse segmento de mercado. Os demais índices são determinados pelos indexadores a que são atrelados os títulos: prefixados (IRF-M), indexados ao IPCA (IMA-B), indexados ao IGP-M (IMA-C) e pós-fixados, que respondem à taxa Selic (IMA-S)</w:t>
      </w:r>
      <w:r w:rsidR="004602FE" w:rsidRPr="007A3EAC">
        <w:rPr>
          <w:rFonts w:ascii="Tahoma" w:hAnsi="Tahoma" w:cs="Tahoma"/>
          <w:sz w:val="20"/>
        </w:rPr>
        <w:t>.</w:t>
      </w:r>
    </w:p>
    <w:p w:rsidR="002971DA" w:rsidRPr="00E8601E" w:rsidRDefault="002971DA" w:rsidP="007A3EAC">
      <w:pPr>
        <w:pBdr>
          <w:top w:val="single" w:sz="4" w:space="1" w:color="auto"/>
          <w:left w:val="single" w:sz="4" w:space="4" w:color="auto"/>
          <w:bottom w:val="single" w:sz="4" w:space="1" w:color="auto"/>
          <w:right w:val="single" w:sz="4" w:space="0" w:color="auto"/>
        </w:pBdr>
        <w:jc w:val="both"/>
        <w:rPr>
          <w:rFonts w:ascii="Times New Roman" w:eastAsia="Times New Roman" w:hAnsi="Times New Roman"/>
          <w:color w:val="444444"/>
          <w:sz w:val="20"/>
        </w:rPr>
      </w:pPr>
      <w:r w:rsidRPr="00E8601E">
        <w:rPr>
          <w:noProof/>
          <w:sz w:val="20"/>
        </w:rPr>
        <w:lastRenderedPageBreak/>
        <w:drawing>
          <wp:inline distT="0" distB="0" distL="0" distR="0">
            <wp:extent cx="5076825" cy="1955800"/>
            <wp:effectExtent l="0" t="0" r="9525" b="6350"/>
            <wp:docPr id="27" name="Imagem 27"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
                    <pic:cNvPicPr>
                      <a:picLocks noChangeAspect="1" noChangeArrowheads="1"/>
                    </pic:cNvPicPr>
                  </pic:nvPicPr>
                  <pic:blipFill>
                    <a:blip r:embed="rId32" cstate="print"/>
                    <a:srcRect/>
                    <a:stretch>
                      <a:fillRect/>
                    </a:stretch>
                  </pic:blipFill>
                  <pic:spPr bwMode="auto">
                    <a:xfrm>
                      <a:off x="0" y="0"/>
                      <a:ext cx="5091842" cy="1961585"/>
                    </a:xfrm>
                    <a:prstGeom prst="rect">
                      <a:avLst/>
                    </a:prstGeom>
                    <a:noFill/>
                    <a:ln w="9525">
                      <a:noFill/>
                      <a:miter lim="800000"/>
                      <a:headEnd/>
                      <a:tailEnd/>
                    </a:ln>
                  </pic:spPr>
                </pic:pic>
              </a:graphicData>
            </a:graphic>
          </wp:inline>
        </w:drawing>
      </w:r>
    </w:p>
    <w:p w:rsidR="007A3EAC" w:rsidRPr="007A3EAC" w:rsidRDefault="007A3EAC" w:rsidP="007A3EAC">
      <w:pPr>
        <w:spacing w:after="120"/>
        <w:jc w:val="both"/>
        <w:rPr>
          <w:rFonts w:ascii="Tahoma" w:hAnsi="Tahoma" w:cs="Tahoma"/>
          <w:sz w:val="20"/>
        </w:rPr>
      </w:pPr>
      <w:r w:rsidRPr="007A3EAC">
        <w:rPr>
          <w:rFonts w:ascii="Tahoma" w:hAnsi="Tahoma" w:cs="Tahoma"/>
          <w:b/>
          <w:sz w:val="20"/>
        </w:rPr>
        <w:t xml:space="preserve">Performance - </w:t>
      </w:r>
      <w:r w:rsidRPr="007A3EAC">
        <w:rPr>
          <w:rFonts w:ascii="Tahoma" w:hAnsi="Tahoma" w:cs="Tahoma"/>
          <w:sz w:val="20"/>
        </w:rPr>
        <w:t>Desempenho obtido em alguma atividade;</w:t>
      </w:r>
    </w:p>
    <w:p w:rsidR="007A3EAC" w:rsidRPr="007A3EAC" w:rsidRDefault="007A3EAC" w:rsidP="007A3EAC">
      <w:pPr>
        <w:spacing w:after="120"/>
        <w:jc w:val="both"/>
        <w:rPr>
          <w:rFonts w:ascii="Tahoma" w:hAnsi="Tahoma" w:cs="Tahoma"/>
          <w:sz w:val="20"/>
        </w:rPr>
      </w:pPr>
      <w:r w:rsidRPr="007A3EAC">
        <w:rPr>
          <w:rFonts w:ascii="Tahoma" w:hAnsi="Tahoma" w:cs="Tahoma"/>
          <w:b/>
          <w:sz w:val="20"/>
        </w:rPr>
        <w:t xml:space="preserve">Risco - </w:t>
      </w:r>
      <w:r w:rsidRPr="007A3EAC">
        <w:rPr>
          <w:rFonts w:ascii="Tahoma" w:hAnsi="Tahoma" w:cs="Tahoma"/>
          <w:sz w:val="20"/>
        </w:rPr>
        <w:t>Grau de incerteza da rentabilidade (retorno) de um investimento;</w:t>
      </w:r>
    </w:p>
    <w:p w:rsidR="007A3EAC" w:rsidRPr="007A3EAC" w:rsidRDefault="007A3EAC" w:rsidP="007A3EAC">
      <w:pPr>
        <w:spacing w:after="120"/>
        <w:jc w:val="both"/>
        <w:rPr>
          <w:rFonts w:ascii="Tahoma" w:hAnsi="Tahoma" w:cs="Tahoma"/>
          <w:sz w:val="20"/>
        </w:rPr>
      </w:pPr>
      <w:r w:rsidRPr="007A3EAC">
        <w:rPr>
          <w:rFonts w:ascii="Tahoma" w:hAnsi="Tahoma" w:cs="Tahoma"/>
          <w:b/>
          <w:sz w:val="20"/>
        </w:rPr>
        <w:t xml:space="preserve">Títulos Públicos - </w:t>
      </w:r>
      <w:r w:rsidRPr="007A3EAC">
        <w:rPr>
          <w:rFonts w:ascii="Tahoma" w:hAnsi="Tahoma" w:cs="Tahoma"/>
          <w:sz w:val="20"/>
        </w:rPr>
        <w:t>São papéis emitidos pelo Tesouro Nacional e vendidos no mercado para captar recursos financeiros e financiar a dívida pública federal, estadual e municipal. Em troca, pagam uma taxa de remuneração;</w:t>
      </w:r>
    </w:p>
    <w:p w:rsidR="004B6957" w:rsidRPr="007A3EAC" w:rsidRDefault="007A3EAC" w:rsidP="007A3EAC">
      <w:pPr>
        <w:spacing w:after="120"/>
        <w:jc w:val="both"/>
        <w:rPr>
          <w:rFonts w:ascii="Tahoma" w:hAnsi="Tahoma" w:cs="Tahoma"/>
          <w:sz w:val="20"/>
        </w:rPr>
      </w:pPr>
      <w:r w:rsidRPr="007A3EAC">
        <w:rPr>
          <w:rFonts w:ascii="Tahoma" w:hAnsi="Tahoma" w:cs="Tahoma"/>
          <w:b/>
          <w:sz w:val="20"/>
        </w:rPr>
        <w:t xml:space="preserve">Volatilidade - </w:t>
      </w:r>
      <w:r w:rsidRPr="007A3EAC">
        <w:rPr>
          <w:rFonts w:ascii="Tahoma" w:hAnsi="Tahoma" w:cs="Tahoma"/>
          <w:sz w:val="20"/>
        </w:rPr>
        <w:t>Indica o grau médio de variação das cotações de um título em determinado período</w:t>
      </w:r>
    </w:p>
    <w:p w:rsidR="007A3EAC" w:rsidRDefault="007A3EAC" w:rsidP="004602FE">
      <w:pPr>
        <w:spacing w:after="120"/>
        <w:jc w:val="both"/>
        <w:rPr>
          <w:rFonts w:ascii="Tahoma" w:hAnsi="Tahoma" w:cs="Tahoma"/>
          <w:sz w:val="20"/>
        </w:rPr>
      </w:pPr>
      <w:r w:rsidRPr="00E8601E">
        <w:rPr>
          <w:rFonts w:ascii="Tahoma" w:hAnsi="Tahoma" w:cs="Tahoma"/>
          <w:b/>
          <w:sz w:val="20"/>
        </w:rPr>
        <w:t>IPCA -</w:t>
      </w:r>
      <w:r w:rsidR="004602FE" w:rsidRPr="00E8601E">
        <w:rPr>
          <w:rFonts w:ascii="Tahoma" w:hAnsi="Tahoma" w:cs="Tahoma"/>
          <w:sz w:val="20"/>
        </w:rPr>
        <w:t xml:space="preserve">Índice Nacional de Preços ao Consumidor Amplo </w:t>
      </w:r>
    </w:p>
    <w:p w:rsidR="004602FE" w:rsidRPr="00E8601E" w:rsidRDefault="007A3EAC" w:rsidP="004602FE">
      <w:pPr>
        <w:spacing w:after="120"/>
        <w:jc w:val="both"/>
        <w:rPr>
          <w:rFonts w:ascii="Tahoma" w:hAnsi="Tahoma" w:cs="Tahoma"/>
          <w:sz w:val="20"/>
        </w:rPr>
      </w:pPr>
      <w:r w:rsidRPr="00E8601E">
        <w:rPr>
          <w:rFonts w:ascii="Tahoma" w:hAnsi="Tahoma" w:cs="Tahoma"/>
          <w:b/>
          <w:sz w:val="20"/>
        </w:rPr>
        <w:t>I</w:t>
      </w:r>
      <w:r>
        <w:rPr>
          <w:rFonts w:ascii="Tahoma" w:hAnsi="Tahoma" w:cs="Tahoma"/>
          <w:b/>
          <w:sz w:val="20"/>
        </w:rPr>
        <w:t>N</w:t>
      </w:r>
      <w:r w:rsidRPr="00E8601E">
        <w:rPr>
          <w:rFonts w:ascii="Tahoma" w:hAnsi="Tahoma" w:cs="Tahoma"/>
          <w:b/>
          <w:sz w:val="20"/>
        </w:rPr>
        <w:t>PC -</w:t>
      </w:r>
      <w:r w:rsidR="004602FE" w:rsidRPr="00E8601E">
        <w:rPr>
          <w:rFonts w:ascii="Tahoma" w:hAnsi="Tahoma" w:cs="Tahoma"/>
          <w:sz w:val="20"/>
        </w:rPr>
        <w:t>Índice Nacional de Preços ao Consumidor - INPC</w:t>
      </w:r>
    </w:p>
    <w:p w:rsidR="004602FE" w:rsidRPr="00E8601E" w:rsidRDefault="004602FE" w:rsidP="00F71F37">
      <w:pPr>
        <w:spacing w:after="120"/>
        <w:jc w:val="both"/>
        <w:rPr>
          <w:rFonts w:ascii="Tahoma" w:hAnsi="Tahoma" w:cs="Tahoma"/>
          <w:sz w:val="20"/>
        </w:rPr>
      </w:pPr>
    </w:p>
    <w:p w:rsidR="00310447" w:rsidRPr="00E8601E" w:rsidRDefault="00310447">
      <w:pPr>
        <w:rPr>
          <w:rFonts w:ascii="Tahoma" w:hAnsi="Tahoma" w:cs="Tahoma"/>
          <w:sz w:val="20"/>
        </w:rPr>
      </w:pPr>
      <w:r w:rsidRPr="00E8601E">
        <w:rPr>
          <w:rFonts w:ascii="Tahoma" w:hAnsi="Tahoma" w:cs="Tahoma"/>
          <w:sz w:val="20"/>
        </w:rPr>
        <w:br w:type="page"/>
      </w:r>
    </w:p>
    <w:p w:rsidR="00A87FCF" w:rsidRPr="00E8601E" w:rsidRDefault="007C01E4" w:rsidP="00FC345B">
      <w:pPr>
        <w:spacing w:after="120"/>
        <w:jc w:val="both"/>
        <w:outlineLvl w:val="0"/>
        <w:rPr>
          <w:sz w:val="20"/>
        </w:rPr>
      </w:pPr>
      <w:bookmarkStart w:id="47" w:name="_Toc436036995"/>
      <w:bookmarkStart w:id="48" w:name="_Toc496874716"/>
      <w:r w:rsidRPr="00E8601E">
        <w:rPr>
          <w:rStyle w:val="Ttulo1Char"/>
          <w:sz w:val="22"/>
        </w:rPr>
        <w:lastRenderedPageBreak/>
        <w:t>DIRETRIZESPARA</w:t>
      </w:r>
      <w:r w:rsidR="00E72D42" w:rsidRPr="00E8601E">
        <w:rPr>
          <w:rStyle w:val="Ttulo1Char"/>
          <w:sz w:val="22"/>
        </w:rPr>
        <w:t xml:space="preserve"> ALOCAÇÃO DOS RECURSOS</w:t>
      </w:r>
      <w:bookmarkEnd w:id="47"/>
      <w:bookmarkEnd w:id="48"/>
      <w:r w:rsidR="0049303D" w:rsidRPr="00E8601E">
        <w:rPr>
          <w:sz w:val="20"/>
        </w:rPr>
        <w:object w:dxaOrig="3163" w:dyaOrig="3187">
          <v:shape id="_x0000_i1038" type="#_x0000_t75" style="width:23.25pt;height:23.25pt" o:ole="">
            <v:imagedata r:id="rId10" o:title=""/>
          </v:shape>
          <o:OLEObject Type="Embed" ProgID="CorelDRAW.Graphic.13" ShapeID="_x0000_i1038" DrawAspect="Content" ObjectID="_1608620661" r:id="rId33"/>
        </w:object>
      </w:r>
    </w:p>
    <w:p w:rsidR="00A87FCF" w:rsidRPr="00E8601E" w:rsidRDefault="00A87FCF" w:rsidP="00FC345B">
      <w:pPr>
        <w:spacing w:after="120"/>
        <w:jc w:val="both"/>
        <w:rPr>
          <w:rFonts w:ascii="Tahoma" w:hAnsi="Tahoma" w:cs="Tahoma"/>
          <w:sz w:val="20"/>
        </w:rPr>
      </w:pPr>
    </w:p>
    <w:p w:rsidR="00453F7A" w:rsidRPr="00E8601E" w:rsidRDefault="00172376" w:rsidP="001B3073">
      <w:pPr>
        <w:pStyle w:val="Ttulo2"/>
        <w:rPr>
          <w:rFonts w:ascii="Tahoma" w:eastAsiaTheme="minorEastAsia" w:hAnsi="Tahoma" w:cs="Tahoma"/>
          <w:b/>
          <w:color w:val="auto"/>
          <w:sz w:val="20"/>
          <w:szCs w:val="22"/>
        </w:rPr>
      </w:pPr>
      <w:bookmarkStart w:id="49" w:name="_Toc436036996"/>
      <w:bookmarkStart w:id="50" w:name="_Toc496874717"/>
      <w:r w:rsidRPr="00E8601E">
        <w:rPr>
          <w:rFonts w:ascii="Tahoma" w:eastAsiaTheme="minorEastAsia" w:hAnsi="Tahoma" w:cs="Tahoma"/>
          <w:b/>
          <w:color w:val="auto"/>
          <w:sz w:val="20"/>
          <w:szCs w:val="22"/>
        </w:rPr>
        <w:t>Das Diretrizes</w:t>
      </w:r>
      <w:bookmarkEnd w:id="49"/>
      <w:bookmarkEnd w:id="50"/>
    </w:p>
    <w:p w:rsidR="001B3073" w:rsidRPr="00E8601E" w:rsidRDefault="001B3073" w:rsidP="001B3073">
      <w:pPr>
        <w:rPr>
          <w:sz w:val="20"/>
        </w:rPr>
      </w:pPr>
    </w:p>
    <w:p w:rsidR="00F023CA" w:rsidRPr="00E8601E" w:rsidRDefault="00F244A0" w:rsidP="00C27CE8">
      <w:pPr>
        <w:jc w:val="both"/>
        <w:rPr>
          <w:rFonts w:ascii="Tahoma" w:hAnsi="Tahoma" w:cs="Tahoma"/>
          <w:sz w:val="20"/>
        </w:rPr>
      </w:pPr>
      <w:r w:rsidRPr="00E8601E">
        <w:rPr>
          <w:rFonts w:ascii="Tahoma" w:hAnsi="Tahoma" w:cs="Tahoma"/>
          <w:sz w:val="20"/>
        </w:rPr>
        <w:t xml:space="preserve">As diretrizes para a alocação dos recursos </w:t>
      </w:r>
      <w:r w:rsidR="00441675" w:rsidRPr="00E8601E">
        <w:rPr>
          <w:rFonts w:ascii="Tahoma" w:hAnsi="Tahoma" w:cs="Tahoma"/>
          <w:sz w:val="20"/>
        </w:rPr>
        <w:t xml:space="preserve">indicam as diretivas </w:t>
      </w:r>
      <w:r w:rsidR="00D253FE" w:rsidRPr="00E8601E">
        <w:rPr>
          <w:rFonts w:ascii="Tahoma" w:hAnsi="Tahoma" w:cs="Tahoma"/>
          <w:sz w:val="20"/>
        </w:rPr>
        <w:t>da</w:t>
      </w:r>
      <w:r w:rsidR="00441675" w:rsidRPr="00E8601E">
        <w:rPr>
          <w:rFonts w:ascii="Tahoma" w:hAnsi="Tahoma" w:cs="Tahoma"/>
          <w:sz w:val="20"/>
        </w:rPr>
        <w:t xml:space="preserve"> gestão de investimentos previstas na legislação e </w:t>
      </w:r>
      <w:r w:rsidR="00F023CA" w:rsidRPr="00E8601E">
        <w:rPr>
          <w:rFonts w:ascii="Tahoma" w:hAnsi="Tahoma" w:cs="Tahoma"/>
          <w:sz w:val="20"/>
        </w:rPr>
        <w:t>seus complementos</w:t>
      </w:r>
      <w:r w:rsidR="00441675" w:rsidRPr="00E8601E">
        <w:rPr>
          <w:rFonts w:ascii="Tahoma" w:hAnsi="Tahoma" w:cs="Tahoma"/>
          <w:sz w:val="20"/>
        </w:rPr>
        <w:t>.Nesse sentido, estabelece-se que o</w:t>
      </w:r>
      <w:r w:rsidR="00406BE0" w:rsidRPr="00E8601E">
        <w:rPr>
          <w:rFonts w:ascii="Tahoma" w:hAnsi="Tahoma" w:cs="Tahoma"/>
          <w:b/>
          <w:sz w:val="20"/>
        </w:rPr>
        <w:t>RPP</w:t>
      </w:r>
      <w:r w:rsidR="000F2BFD" w:rsidRPr="00E8601E">
        <w:rPr>
          <w:rFonts w:ascii="Tahoma" w:hAnsi="Tahoma" w:cs="Tahoma"/>
          <w:b/>
          <w:sz w:val="20"/>
        </w:rPr>
        <w:t xml:space="preserve">S </w:t>
      </w:r>
      <w:r w:rsidR="000F2BFD" w:rsidRPr="00344EA0">
        <w:rPr>
          <w:rFonts w:ascii="Tahoma" w:hAnsi="Tahoma" w:cs="Tahoma"/>
          <w:b/>
          <w:sz w:val="20"/>
        </w:rPr>
        <w:t xml:space="preserve">DO </w:t>
      </w:r>
      <w:r w:rsidR="00C27CE8" w:rsidRPr="00344EA0">
        <w:rPr>
          <w:rFonts w:ascii="Tahoma" w:hAnsi="Tahoma" w:cs="Tahoma"/>
          <w:b/>
          <w:sz w:val="20"/>
        </w:rPr>
        <w:t xml:space="preserve">MUNICÍPIO DE </w:t>
      </w:r>
      <w:r w:rsidR="00C27CE8" w:rsidRPr="009A5912">
        <w:rPr>
          <w:rFonts w:ascii="Tahoma" w:hAnsi="Tahoma" w:cs="Tahoma"/>
          <w:b/>
          <w:sz w:val="20"/>
        </w:rPr>
        <w:t>RIO DOS ÍNDIOS</w:t>
      </w:r>
      <w:r w:rsidR="00E26AA2" w:rsidRPr="00344EA0">
        <w:rPr>
          <w:rFonts w:ascii="Tahoma" w:hAnsi="Tahoma" w:cs="Tahoma"/>
          <w:sz w:val="20"/>
        </w:rPr>
        <w:t>dever</w:t>
      </w:r>
      <w:r w:rsidR="00BE65D2" w:rsidRPr="00344EA0">
        <w:rPr>
          <w:rFonts w:ascii="Tahoma" w:hAnsi="Tahoma" w:cs="Tahoma"/>
          <w:sz w:val="20"/>
        </w:rPr>
        <w:t>á</w:t>
      </w:r>
      <w:r w:rsidR="00E26AA2" w:rsidRPr="00E8601E">
        <w:rPr>
          <w:rFonts w:ascii="Tahoma" w:hAnsi="Tahoma" w:cs="Tahoma"/>
          <w:sz w:val="20"/>
        </w:rPr>
        <w:t xml:space="preserve"> observar na gestão dos recursos d</w:t>
      </w:r>
      <w:r w:rsidR="00BE65D2" w:rsidRPr="00E8601E">
        <w:rPr>
          <w:rFonts w:ascii="Tahoma" w:hAnsi="Tahoma" w:cs="Tahoma"/>
          <w:sz w:val="20"/>
        </w:rPr>
        <w:t>o</w:t>
      </w:r>
      <w:r w:rsidR="00E26AA2" w:rsidRPr="00E8601E">
        <w:rPr>
          <w:rFonts w:ascii="Tahoma" w:hAnsi="Tahoma" w:cs="Tahoma"/>
          <w:sz w:val="20"/>
        </w:rPr>
        <w:t xml:space="preserve"> seu </w:t>
      </w:r>
      <w:r w:rsidR="00BE65D2" w:rsidRPr="00E8601E">
        <w:rPr>
          <w:rFonts w:ascii="Tahoma" w:hAnsi="Tahoma" w:cs="Tahoma"/>
          <w:sz w:val="20"/>
        </w:rPr>
        <w:t xml:space="preserve">regime próprio de previdência social, dentre outras obrigações,a </w:t>
      </w:r>
      <w:r w:rsidR="00E26AA2" w:rsidRPr="00E8601E">
        <w:rPr>
          <w:rFonts w:ascii="Tahoma" w:hAnsi="Tahoma" w:cs="Tahoma"/>
          <w:sz w:val="20"/>
        </w:rPr>
        <w:t>realiza</w:t>
      </w:r>
      <w:r w:rsidR="00BE65D2" w:rsidRPr="00E8601E">
        <w:rPr>
          <w:rFonts w:ascii="Tahoma" w:hAnsi="Tahoma" w:cs="Tahoma"/>
          <w:sz w:val="20"/>
        </w:rPr>
        <w:t>ção de</w:t>
      </w:r>
      <w:r w:rsidR="00E26AA2" w:rsidRPr="00E8601E">
        <w:rPr>
          <w:rFonts w:ascii="Tahoma" w:hAnsi="Tahoma" w:cs="Tahoma"/>
          <w:sz w:val="20"/>
        </w:rPr>
        <w:t xml:space="preserve"> processo seletivo</w:t>
      </w:r>
      <w:r w:rsidRPr="00E8601E">
        <w:rPr>
          <w:rFonts w:ascii="Tahoma" w:hAnsi="Tahoma" w:cs="Tahoma"/>
          <w:sz w:val="20"/>
        </w:rPr>
        <w:t xml:space="preserve"> de</w:t>
      </w:r>
      <w:r w:rsidR="00BE65D2" w:rsidRPr="00E8601E">
        <w:rPr>
          <w:rFonts w:ascii="Tahoma" w:hAnsi="Tahoma" w:cs="Tahoma"/>
          <w:sz w:val="20"/>
        </w:rPr>
        <w:t xml:space="preserve"> entidade autorizada e credenciada</w:t>
      </w:r>
      <w:r w:rsidRPr="00E8601E">
        <w:rPr>
          <w:rFonts w:ascii="Tahoma" w:hAnsi="Tahoma" w:cs="Tahoma"/>
          <w:sz w:val="20"/>
        </w:rPr>
        <w:t xml:space="preserve"> nos termos da legislação vigente se existir um modelo de gestão não própria a qualquer tempo</w:t>
      </w:r>
      <w:r w:rsidR="00E26AA2" w:rsidRPr="00E8601E">
        <w:rPr>
          <w:rFonts w:ascii="Tahoma" w:hAnsi="Tahoma" w:cs="Tahoma"/>
          <w:sz w:val="20"/>
        </w:rPr>
        <w:t>, tendo como critérios, no mínimo, a solidez patrimonial da entidade, a compatibilidade desta com o volume de recursos e a experiência positiva no exercício da atividade de administração de recursos de terceiros</w:t>
      </w:r>
      <w:r w:rsidR="00BE65D2" w:rsidRPr="00E8601E">
        <w:rPr>
          <w:rFonts w:ascii="Tahoma" w:hAnsi="Tahoma" w:cs="Tahoma"/>
          <w:sz w:val="20"/>
        </w:rPr>
        <w:t>.</w:t>
      </w:r>
    </w:p>
    <w:p w:rsidR="00E26AA2" w:rsidRPr="00E8601E" w:rsidRDefault="006654A7" w:rsidP="00FC345B">
      <w:pPr>
        <w:spacing w:after="120"/>
        <w:jc w:val="both"/>
        <w:rPr>
          <w:rFonts w:ascii="Tahoma" w:hAnsi="Tahoma" w:cs="Tahoma"/>
          <w:sz w:val="20"/>
        </w:rPr>
      </w:pPr>
      <w:r w:rsidRPr="00E8601E">
        <w:rPr>
          <w:rFonts w:ascii="Tahoma" w:hAnsi="Tahoma" w:cs="Tahoma"/>
          <w:sz w:val="20"/>
        </w:rPr>
        <w:t>Independentemente do modelo de gestão, o respectivo regime próprio de previdência social deverá promover boas práticas de mercado. Isso inclui elevados padrões éticos na condução das operações relativas às aplicações dos seus recursos, bem como eficiência nos procedimentos técnicos, operacionais e de controle das aplicações. Nesse contexto, quando for o caso, e</w:t>
      </w:r>
      <w:r w:rsidR="00E26AA2" w:rsidRPr="00E8601E">
        <w:rPr>
          <w:rFonts w:ascii="Tahoma" w:hAnsi="Tahoma" w:cs="Tahoma"/>
          <w:sz w:val="20"/>
        </w:rPr>
        <w:t xml:space="preserve">xigir da entidade autorizada e credenciada, mediante contrato, no mínimo mensalmente, relatório detalhado contendo informações sobre a rentabilidade </w:t>
      </w:r>
      <w:r w:rsidR="00F244A0" w:rsidRPr="00E8601E">
        <w:rPr>
          <w:rFonts w:ascii="Tahoma" w:hAnsi="Tahoma" w:cs="Tahoma"/>
          <w:sz w:val="20"/>
        </w:rPr>
        <w:t>e risco das aplicações</w:t>
      </w:r>
      <w:r w:rsidRPr="00E8601E">
        <w:rPr>
          <w:rFonts w:ascii="Tahoma" w:hAnsi="Tahoma" w:cs="Tahoma"/>
          <w:sz w:val="20"/>
        </w:rPr>
        <w:t>, er</w:t>
      </w:r>
      <w:r w:rsidR="00E26AA2" w:rsidRPr="00E8601E">
        <w:rPr>
          <w:rFonts w:ascii="Tahoma" w:hAnsi="Tahoma" w:cs="Tahoma"/>
          <w:sz w:val="20"/>
        </w:rPr>
        <w:t xml:space="preserve">ealizar avaliação do desempenho das aplicações efetuadas por entidade autorizada e credenciada, no mínimo semestralmente, adotando, de imediato, medidas cabíveis no caso da constatação de </w:t>
      </w:r>
      <w:r w:rsidR="00E26AA2" w:rsidRPr="00E8601E">
        <w:rPr>
          <w:rFonts w:ascii="Tahoma" w:hAnsi="Tahoma" w:cs="Tahoma"/>
          <w:i/>
          <w:sz w:val="20"/>
        </w:rPr>
        <w:t>performance</w:t>
      </w:r>
      <w:r w:rsidRPr="00E8601E">
        <w:rPr>
          <w:rFonts w:ascii="Tahoma" w:hAnsi="Tahoma" w:cs="Tahoma"/>
          <w:sz w:val="20"/>
        </w:rPr>
        <w:t>insatisfatória.</w:t>
      </w:r>
    </w:p>
    <w:p w:rsidR="00E26AA2" w:rsidRPr="00E8601E" w:rsidRDefault="00346F49" w:rsidP="00FC345B">
      <w:pPr>
        <w:spacing w:after="120"/>
        <w:jc w:val="both"/>
        <w:rPr>
          <w:rFonts w:ascii="Tahoma" w:hAnsi="Tahoma" w:cs="Tahoma"/>
          <w:sz w:val="20"/>
        </w:rPr>
      </w:pPr>
      <w:r w:rsidRPr="00E8601E">
        <w:rPr>
          <w:rFonts w:ascii="Tahoma" w:hAnsi="Tahoma" w:cs="Tahoma"/>
          <w:sz w:val="20"/>
        </w:rPr>
        <w:t xml:space="preserve">Para atender a legislação estritamente, alguns procedimentos precisão ser instituídos, nos casos omissos, e mantidos </w:t>
      </w:r>
      <w:r w:rsidR="00383A51" w:rsidRPr="00E8601E">
        <w:rPr>
          <w:rFonts w:ascii="Tahoma" w:hAnsi="Tahoma" w:cs="Tahoma"/>
          <w:sz w:val="20"/>
        </w:rPr>
        <w:t>permanentemente</w:t>
      </w:r>
      <w:r w:rsidRPr="00E8601E">
        <w:rPr>
          <w:rFonts w:ascii="Tahoma" w:hAnsi="Tahoma" w:cs="Tahoma"/>
          <w:sz w:val="20"/>
        </w:rPr>
        <w:t xml:space="preserve">. Dessa forma, o comitê de investimentos ou o órgão competente, com auxílio dos serviços especializados, deverá observar a OBRIGAÇÃO </w:t>
      </w:r>
      <w:r w:rsidR="00383A51" w:rsidRPr="00E8601E">
        <w:rPr>
          <w:rFonts w:ascii="Tahoma" w:hAnsi="Tahoma" w:cs="Tahoma"/>
          <w:sz w:val="20"/>
        </w:rPr>
        <w:t>DE ELABORAR RELATÓRIOSDETALHADOS</w:t>
      </w:r>
      <w:r w:rsidR="00E26AA2" w:rsidRPr="00E8601E">
        <w:rPr>
          <w:rFonts w:ascii="Tahoma" w:hAnsi="Tahoma" w:cs="Tahoma"/>
          <w:sz w:val="20"/>
        </w:rPr>
        <w:t xml:space="preserve">, no mínimo, trimestralmente, </w:t>
      </w:r>
      <w:r w:rsidR="00383A51" w:rsidRPr="00E8601E">
        <w:rPr>
          <w:rFonts w:ascii="Tahoma" w:hAnsi="Tahoma" w:cs="Tahoma"/>
          <w:sz w:val="20"/>
        </w:rPr>
        <w:t>SOBRE A RENTABILIDADE</w:t>
      </w:r>
      <w:r w:rsidR="00E26AA2" w:rsidRPr="00E8601E">
        <w:rPr>
          <w:rFonts w:ascii="Tahoma" w:hAnsi="Tahoma" w:cs="Tahoma"/>
          <w:sz w:val="20"/>
        </w:rPr>
        <w:t xml:space="preserve">, </w:t>
      </w:r>
      <w:r w:rsidR="00383A51" w:rsidRPr="00E8601E">
        <w:rPr>
          <w:rFonts w:ascii="Tahoma" w:hAnsi="Tahoma" w:cs="Tahoma"/>
          <w:sz w:val="20"/>
        </w:rPr>
        <w:t>OS RISCOS</w:t>
      </w:r>
      <w:r w:rsidR="00E26AA2" w:rsidRPr="00E8601E">
        <w:rPr>
          <w:rFonts w:ascii="Tahoma" w:hAnsi="Tahoma" w:cs="Tahoma"/>
          <w:sz w:val="20"/>
        </w:rPr>
        <w:t xml:space="preserve"> das diversas modalidades de operações realizadas nas aplicações dos recursos do RPPS e a aderência à política anual de investimentos e suas revisões e submetê-los às instâncias superiores de deliberação e </w:t>
      </w:r>
      <w:r w:rsidR="00383A51" w:rsidRPr="00E8601E">
        <w:rPr>
          <w:rFonts w:ascii="Tahoma" w:hAnsi="Tahoma" w:cs="Tahoma"/>
          <w:sz w:val="20"/>
        </w:rPr>
        <w:t xml:space="preserve">controle. Com isso, buscar </w:t>
      </w:r>
      <w:r w:rsidR="00E26AA2" w:rsidRPr="00E8601E">
        <w:rPr>
          <w:rFonts w:ascii="Tahoma" w:hAnsi="Tahoma" w:cs="Tahoma"/>
          <w:sz w:val="20"/>
        </w:rPr>
        <w:t xml:space="preserve">assegurar-se do desempenho positivo de qualquer entidade que mantiver relação de prestação de serviços e ou consultoria ao RPPS nas operações de </w:t>
      </w:r>
      <w:r w:rsidR="00383A51" w:rsidRPr="00E8601E">
        <w:rPr>
          <w:rFonts w:ascii="Tahoma" w:hAnsi="Tahoma" w:cs="Tahoma"/>
          <w:sz w:val="20"/>
        </w:rPr>
        <w:t>aplicação dos recursos do RPPS.</w:t>
      </w:r>
    </w:p>
    <w:p w:rsidR="00E26AA2" w:rsidRPr="00E8601E" w:rsidRDefault="00C54912" w:rsidP="00FC345B">
      <w:pPr>
        <w:spacing w:after="120"/>
        <w:jc w:val="both"/>
        <w:rPr>
          <w:rFonts w:ascii="Tahoma" w:hAnsi="Tahoma" w:cs="Tahoma"/>
          <w:sz w:val="20"/>
        </w:rPr>
      </w:pPr>
      <w:r w:rsidRPr="00E8601E">
        <w:rPr>
          <w:rFonts w:ascii="Tahoma" w:hAnsi="Tahoma" w:cs="Tahoma"/>
          <w:sz w:val="20"/>
        </w:rPr>
        <w:t>Nos casos de cobrança de outras taxas diferentes de taxa de administração, preservar alguns cuidados. Observar a condição para</w:t>
      </w:r>
      <w:r w:rsidR="00E26AA2" w:rsidRPr="00E8601E">
        <w:rPr>
          <w:rFonts w:ascii="Tahoma" w:hAnsi="Tahoma" w:cs="Tahoma"/>
          <w:sz w:val="20"/>
        </w:rPr>
        <w:t xml:space="preserve"> o pagamento de taxa de </w:t>
      </w:r>
      <w:r w:rsidR="00E26AA2" w:rsidRPr="00E8601E">
        <w:rPr>
          <w:rFonts w:ascii="Tahoma" w:hAnsi="Tahoma" w:cs="Tahoma"/>
          <w:i/>
          <w:sz w:val="20"/>
        </w:rPr>
        <w:t>performance</w:t>
      </w:r>
      <w:r w:rsidR="00E26AA2" w:rsidRPr="00E8601E">
        <w:rPr>
          <w:rFonts w:ascii="Tahoma" w:hAnsi="Tahoma" w:cs="Tahoma"/>
          <w:sz w:val="20"/>
        </w:rPr>
        <w:t xml:space="preserve"> na aplicação dos recursos do RPPS em cotas de fundos de investimento, ou por meio de carteiras administradas, ao atendimento, além da regulamentação emanada dos órgãos competentes, especialmente da Comissão de Valores Mobiliários, no mínimo, dos seguintes critérios:que o pagamento tenha a periodicidade mínima semestral ou que seja feito no resgate da aplicação;que o resultado da aplicação da carteira ou do fundo de investimento supere a valorização do índice de referência; que a cobrança seja feita somente depois da dedução das despesas decorrentes da aplicação dos recursos, inclusive da taxa de administração;eque o parâmetro de referência seja compatível com a política de investimento do fundo e com os títulos que efetivamente o componha.</w:t>
      </w:r>
    </w:p>
    <w:p w:rsidR="00E26AA2" w:rsidRPr="00344EA0" w:rsidRDefault="00C54912" w:rsidP="00FC345B">
      <w:pPr>
        <w:spacing w:after="120"/>
        <w:jc w:val="both"/>
        <w:rPr>
          <w:rFonts w:ascii="Tahoma" w:hAnsi="Tahoma" w:cs="Tahoma"/>
          <w:sz w:val="20"/>
        </w:rPr>
      </w:pPr>
      <w:r w:rsidRPr="00E8601E">
        <w:rPr>
          <w:rFonts w:ascii="Tahoma" w:hAnsi="Tahoma" w:cs="Tahoma"/>
          <w:sz w:val="20"/>
        </w:rPr>
        <w:t>Sempre, no modelo de gestão própria,</w:t>
      </w:r>
      <w:r w:rsidR="00E26AA2" w:rsidRPr="00E8601E">
        <w:rPr>
          <w:rFonts w:ascii="Tahoma" w:hAnsi="Tahoma" w:cs="Tahoma"/>
          <w:sz w:val="20"/>
        </w:rPr>
        <w:t xml:space="preserve"> antes da realização de qualquer operação, </w:t>
      </w:r>
      <w:r w:rsidR="00F8325A" w:rsidRPr="00E8601E">
        <w:rPr>
          <w:rFonts w:ascii="Tahoma" w:hAnsi="Tahoma" w:cs="Tahoma"/>
          <w:sz w:val="20"/>
        </w:rPr>
        <w:t>ASSEGURARQUE AS</w:t>
      </w:r>
      <w:r w:rsidR="00E26AA2" w:rsidRPr="00E8601E">
        <w:rPr>
          <w:rFonts w:ascii="Tahoma" w:hAnsi="Tahoma" w:cs="Tahoma"/>
          <w:sz w:val="20"/>
        </w:rPr>
        <w:t xml:space="preserve"> instituições escolhidas para receber as </w:t>
      </w:r>
      <w:r w:rsidR="00F8325A" w:rsidRPr="00E8601E">
        <w:rPr>
          <w:rFonts w:ascii="Tahoma" w:hAnsi="Tahoma" w:cs="Tahoma"/>
          <w:sz w:val="20"/>
        </w:rPr>
        <w:t>APLICAÇÕES TENHAM</w:t>
      </w:r>
      <w:r w:rsidR="00E26AA2" w:rsidRPr="00E8601E">
        <w:rPr>
          <w:rFonts w:ascii="Tahoma" w:hAnsi="Tahoma" w:cs="Tahoma"/>
          <w:sz w:val="20"/>
        </w:rPr>
        <w:t xml:space="preserve"> sido </w:t>
      </w:r>
      <w:r w:rsidR="00E26AA2" w:rsidRPr="00E8601E">
        <w:rPr>
          <w:rFonts w:ascii="Tahoma" w:hAnsi="Tahoma" w:cs="Tahoma"/>
          <w:sz w:val="20"/>
        </w:rPr>
        <w:lastRenderedPageBreak/>
        <w:t xml:space="preserve">objeto de </w:t>
      </w:r>
      <w:r w:rsidR="00F8325A" w:rsidRPr="00E8601E">
        <w:rPr>
          <w:rFonts w:ascii="Tahoma" w:hAnsi="Tahoma" w:cs="Tahoma"/>
          <w:sz w:val="20"/>
        </w:rPr>
        <w:t>PRÉVIO CADASTRAMENTO</w:t>
      </w:r>
      <w:r w:rsidR="00272C0E" w:rsidRPr="00E8601E">
        <w:rPr>
          <w:rFonts w:ascii="Tahoma" w:hAnsi="Tahoma" w:cs="Tahoma"/>
          <w:sz w:val="20"/>
        </w:rPr>
        <w:t>, conforme portaria nº 300/2015</w:t>
      </w:r>
      <w:r w:rsidR="00E26AA2" w:rsidRPr="00E8601E">
        <w:rPr>
          <w:rFonts w:ascii="Tahoma" w:hAnsi="Tahoma" w:cs="Tahoma"/>
          <w:sz w:val="20"/>
        </w:rPr>
        <w:t>.</w:t>
      </w:r>
      <w:r w:rsidRPr="00E8601E">
        <w:rPr>
          <w:rFonts w:ascii="Tahoma" w:hAnsi="Tahoma" w:cs="Tahoma"/>
          <w:sz w:val="20"/>
        </w:rPr>
        <w:t xml:space="preserve"> Assim, observar</w:t>
      </w:r>
      <w:r w:rsidR="00E26AA2" w:rsidRPr="00E8601E">
        <w:rPr>
          <w:rFonts w:ascii="Tahoma" w:hAnsi="Tahoma" w:cs="Tahoma"/>
          <w:sz w:val="20"/>
        </w:rPr>
        <w:t xml:space="preserve">, e formalmente </w:t>
      </w:r>
      <w:r w:rsidR="00236A5D" w:rsidRPr="00E8601E">
        <w:rPr>
          <w:rFonts w:ascii="Tahoma" w:hAnsi="Tahoma" w:cs="Tahoma"/>
          <w:sz w:val="20"/>
        </w:rPr>
        <w:t>atestaratravés do</w:t>
      </w:r>
      <w:r w:rsidR="00E26AA2" w:rsidRPr="00E8601E">
        <w:rPr>
          <w:rFonts w:ascii="Tahoma" w:hAnsi="Tahoma" w:cs="Tahoma"/>
          <w:sz w:val="20"/>
        </w:rPr>
        <w:t xml:space="preserve"> representante legal do </w:t>
      </w:r>
      <w:r w:rsidR="00F9440D" w:rsidRPr="00E8601E">
        <w:rPr>
          <w:rFonts w:ascii="Tahoma" w:hAnsi="Tahoma" w:cs="Tahoma"/>
          <w:sz w:val="20"/>
        </w:rPr>
        <w:t xml:space="preserve">regime próprio de previdência social </w:t>
      </w:r>
      <w:r w:rsidR="00F9440D" w:rsidRPr="00344EA0">
        <w:rPr>
          <w:rFonts w:ascii="Tahoma" w:hAnsi="Tahoma" w:cs="Tahoma"/>
          <w:sz w:val="20"/>
        </w:rPr>
        <w:t xml:space="preserve">do </w:t>
      </w:r>
      <w:r w:rsidR="00C27CE8" w:rsidRPr="00344EA0">
        <w:rPr>
          <w:rFonts w:ascii="Tahoma" w:hAnsi="Tahoma" w:cs="Tahoma"/>
          <w:b/>
          <w:sz w:val="20"/>
        </w:rPr>
        <w:t xml:space="preserve">MUNICÍPIO DE </w:t>
      </w:r>
      <w:r w:rsidR="00C27CE8" w:rsidRPr="009A5912">
        <w:rPr>
          <w:rFonts w:ascii="Tahoma" w:hAnsi="Tahoma" w:cs="Tahoma"/>
          <w:b/>
          <w:sz w:val="20"/>
        </w:rPr>
        <w:t>RIO DOS ÍNDIOS</w:t>
      </w:r>
      <w:r w:rsidR="00E26AA2" w:rsidRPr="00344EA0">
        <w:rPr>
          <w:rFonts w:ascii="Tahoma" w:hAnsi="Tahoma" w:cs="Tahoma"/>
          <w:sz w:val="20"/>
        </w:rPr>
        <w:t>no mínimo, quesitos comoatos de registro ou autorização para funcionamento expedido pelo Banco Central do Brasil ou Comissão de Valores Mobiliários ou órgão competente; observação de elevado padrão ético de conduta nas operações realizadas no mercado financeiro e ausência de restrições que, a critério do Banco Central do Brasil, da Comissão de Valores Mobiliários ou de outros órgãos competentes</w:t>
      </w:r>
      <w:r w:rsidR="00F8325A" w:rsidRPr="00344EA0">
        <w:rPr>
          <w:rFonts w:ascii="Tahoma" w:hAnsi="Tahoma" w:cs="Tahoma"/>
          <w:sz w:val="20"/>
        </w:rPr>
        <w:t>,</w:t>
      </w:r>
      <w:r w:rsidR="00E26AA2" w:rsidRPr="00344EA0">
        <w:rPr>
          <w:rFonts w:ascii="Tahoma" w:hAnsi="Tahoma" w:cs="Tahoma"/>
          <w:sz w:val="20"/>
        </w:rPr>
        <w:t xml:space="preserve"> desaconselhem um relacionamento seguro. </w:t>
      </w:r>
      <w:r w:rsidR="00236A5D" w:rsidRPr="00344EA0">
        <w:rPr>
          <w:rFonts w:ascii="Tahoma" w:hAnsi="Tahoma" w:cs="Tahoma"/>
          <w:sz w:val="20"/>
        </w:rPr>
        <w:t>Para os</w:t>
      </w:r>
      <w:r w:rsidR="00E26AA2" w:rsidRPr="00344EA0">
        <w:rPr>
          <w:rFonts w:ascii="Tahoma" w:hAnsi="Tahoma" w:cs="Tahoma"/>
          <w:sz w:val="20"/>
        </w:rPr>
        <w:t xml:space="preserve"> fundos de investimento, o cadastramento </w:t>
      </w:r>
      <w:r w:rsidR="00236A5D" w:rsidRPr="00344EA0">
        <w:rPr>
          <w:rFonts w:ascii="Tahoma" w:hAnsi="Tahoma" w:cs="Tahoma"/>
          <w:sz w:val="20"/>
        </w:rPr>
        <w:t xml:space="preserve">deverá contemplar </w:t>
      </w:r>
      <w:r w:rsidR="00657451" w:rsidRPr="00344EA0">
        <w:rPr>
          <w:rFonts w:ascii="Tahoma" w:hAnsi="Tahoma" w:cs="Tahoma"/>
          <w:sz w:val="20"/>
        </w:rPr>
        <w:t>a identificação d</w:t>
      </w:r>
      <w:r w:rsidR="00236A5D" w:rsidRPr="00344EA0">
        <w:rPr>
          <w:rFonts w:ascii="Tahoma" w:hAnsi="Tahoma" w:cs="Tahoma"/>
          <w:sz w:val="20"/>
        </w:rPr>
        <w:t xml:space="preserve">o </w:t>
      </w:r>
      <w:r w:rsidR="00E26AA2" w:rsidRPr="00344EA0">
        <w:rPr>
          <w:rFonts w:ascii="Tahoma" w:hAnsi="Tahoma" w:cs="Tahoma"/>
          <w:sz w:val="20"/>
        </w:rPr>
        <w:t xml:space="preserve">gestor e </w:t>
      </w:r>
      <w:r w:rsidR="00657451" w:rsidRPr="00344EA0">
        <w:rPr>
          <w:rFonts w:ascii="Tahoma" w:hAnsi="Tahoma" w:cs="Tahoma"/>
          <w:sz w:val="20"/>
        </w:rPr>
        <w:t>d</w:t>
      </w:r>
      <w:r w:rsidR="00E26AA2" w:rsidRPr="00344EA0">
        <w:rPr>
          <w:rFonts w:ascii="Tahoma" w:hAnsi="Tahoma" w:cs="Tahoma"/>
          <w:sz w:val="20"/>
        </w:rPr>
        <w:t xml:space="preserve">o administrador do </w:t>
      </w:r>
      <w:r w:rsidR="00236A5D" w:rsidRPr="00344EA0">
        <w:rPr>
          <w:rFonts w:ascii="Tahoma" w:hAnsi="Tahoma" w:cs="Tahoma"/>
          <w:sz w:val="20"/>
        </w:rPr>
        <w:t>fundo.</w:t>
      </w:r>
    </w:p>
    <w:p w:rsidR="00A505DA" w:rsidRDefault="00676F05" w:rsidP="00C27CE8">
      <w:pPr>
        <w:spacing w:after="120"/>
        <w:jc w:val="both"/>
        <w:rPr>
          <w:rFonts w:ascii="Tahoma" w:hAnsi="Tahoma" w:cs="Tahoma"/>
          <w:sz w:val="20"/>
        </w:rPr>
      </w:pPr>
      <w:r w:rsidRPr="00344EA0">
        <w:rPr>
          <w:rFonts w:ascii="Tahoma" w:hAnsi="Tahoma" w:cs="Tahoma"/>
          <w:sz w:val="20"/>
        </w:rPr>
        <w:t xml:space="preserve">O </w:t>
      </w:r>
      <w:r w:rsidR="0023730B" w:rsidRPr="0023730B">
        <w:rPr>
          <w:rFonts w:ascii="Tahoma" w:hAnsi="Tahoma" w:cs="Tahoma"/>
          <w:b/>
          <w:sz w:val="20"/>
        </w:rPr>
        <w:t>FUNDO DE PREVIDÊNCIA SOCIAL DO SERVIDOR – FPSS DE RIO DOS ÍNDIOS</w:t>
      </w:r>
      <w:r w:rsidR="00E26AA2" w:rsidRPr="00344EA0">
        <w:rPr>
          <w:rFonts w:ascii="Tahoma" w:hAnsi="Tahoma" w:cs="Tahoma"/>
          <w:sz w:val="20"/>
        </w:rPr>
        <w:t>dever</w:t>
      </w:r>
      <w:r w:rsidRPr="00344EA0">
        <w:rPr>
          <w:rFonts w:ascii="Tahoma" w:hAnsi="Tahoma" w:cs="Tahoma"/>
          <w:sz w:val="20"/>
        </w:rPr>
        <w:t>á</w:t>
      </w:r>
      <w:r w:rsidR="00E26AA2" w:rsidRPr="00344EA0">
        <w:rPr>
          <w:rFonts w:ascii="Tahoma" w:hAnsi="Tahoma" w:cs="Tahoma"/>
          <w:sz w:val="20"/>
        </w:rPr>
        <w:t xml:space="preserve"> manterComitê de Investimentos dos </w:t>
      </w:r>
      <w:r w:rsidRPr="00344EA0">
        <w:rPr>
          <w:rFonts w:ascii="Tahoma" w:hAnsi="Tahoma" w:cs="Tahoma"/>
          <w:sz w:val="20"/>
        </w:rPr>
        <w:t xml:space="preserve">seus respectivos </w:t>
      </w:r>
      <w:r w:rsidR="00E26AA2" w:rsidRPr="00344EA0">
        <w:rPr>
          <w:rFonts w:ascii="Tahoma" w:hAnsi="Tahoma" w:cs="Tahoma"/>
          <w:sz w:val="20"/>
        </w:rPr>
        <w:t>recursos, como órgão auxiliar no processo decisório quanto à execução da política de investimentos, cujas decisões serão registradas</w:t>
      </w:r>
      <w:r w:rsidR="00E26AA2" w:rsidRPr="00E8601E">
        <w:rPr>
          <w:rFonts w:ascii="Tahoma" w:hAnsi="Tahoma" w:cs="Tahoma"/>
          <w:sz w:val="20"/>
        </w:rPr>
        <w:t xml:space="preserve"> em ata</w:t>
      </w:r>
      <w:r w:rsidRPr="00E8601E">
        <w:rPr>
          <w:rFonts w:ascii="Tahoma" w:hAnsi="Tahoma" w:cs="Tahoma"/>
          <w:sz w:val="20"/>
        </w:rPr>
        <w:t xml:space="preserve">. O Comitê de Investimentos </w:t>
      </w:r>
      <w:r w:rsidR="00E66D20" w:rsidRPr="00E8601E">
        <w:rPr>
          <w:rFonts w:ascii="Tahoma" w:hAnsi="Tahoma" w:cs="Tahoma"/>
          <w:sz w:val="20"/>
        </w:rPr>
        <w:t>precisa ter se originado de</w:t>
      </w:r>
      <w:r w:rsidR="00E26AA2" w:rsidRPr="00E8601E">
        <w:rPr>
          <w:rFonts w:ascii="Tahoma" w:hAnsi="Tahoma" w:cs="Tahoma"/>
          <w:sz w:val="20"/>
        </w:rPr>
        <w:t xml:space="preserve"> ato normativo </w:t>
      </w:r>
      <w:r w:rsidR="00E66D20" w:rsidRPr="00E8601E">
        <w:rPr>
          <w:rFonts w:ascii="Tahoma" w:hAnsi="Tahoma" w:cs="Tahoma"/>
          <w:sz w:val="20"/>
        </w:rPr>
        <w:t xml:space="preserve">prevendo </w:t>
      </w:r>
      <w:r w:rsidR="00E26AA2" w:rsidRPr="00E8601E">
        <w:rPr>
          <w:rFonts w:ascii="Tahoma" w:hAnsi="Tahoma" w:cs="Tahoma"/>
          <w:sz w:val="20"/>
        </w:rPr>
        <w:t xml:space="preserve">a </w:t>
      </w:r>
      <w:r w:rsidR="00E66D20" w:rsidRPr="00E8601E">
        <w:rPr>
          <w:rFonts w:ascii="Tahoma" w:hAnsi="Tahoma" w:cs="Tahoma"/>
          <w:sz w:val="20"/>
        </w:rPr>
        <w:t xml:space="preserve">sua </w:t>
      </w:r>
      <w:r w:rsidR="00E26AA2" w:rsidRPr="00E8601E">
        <w:rPr>
          <w:rFonts w:ascii="Tahoma" w:hAnsi="Tahoma" w:cs="Tahoma"/>
          <w:sz w:val="20"/>
        </w:rPr>
        <w:t>estrutura, composição e funcionamento</w:t>
      </w:r>
      <w:r w:rsidR="00E66D20" w:rsidRPr="00E8601E">
        <w:rPr>
          <w:rFonts w:ascii="Tahoma" w:hAnsi="Tahoma" w:cs="Tahoma"/>
          <w:sz w:val="20"/>
        </w:rPr>
        <w:t>,</w:t>
      </w:r>
      <w:r w:rsidR="00E26AA2" w:rsidRPr="00E8601E">
        <w:rPr>
          <w:rFonts w:ascii="Tahoma" w:hAnsi="Tahoma" w:cs="Tahoma"/>
          <w:sz w:val="20"/>
        </w:rPr>
        <w:t xml:space="preserve"> respeitada a exigência de que seus membros mantenham vínculo com o RPPS, na forma definida no § 4</w:t>
      </w:r>
      <w:r w:rsidR="00E66D20" w:rsidRPr="00E8601E">
        <w:rPr>
          <w:rFonts w:ascii="Tahoma" w:hAnsi="Tahoma" w:cs="Tahoma"/>
          <w:sz w:val="20"/>
        </w:rPr>
        <w:t>º</w:t>
      </w:r>
      <w:r w:rsidR="00E26AA2" w:rsidRPr="00E8601E">
        <w:rPr>
          <w:rFonts w:ascii="Tahoma" w:hAnsi="Tahoma" w:cs="Tahoma"/>
          <w:sz w:val="20"/>
        </w:rPr>
        <w:t xml:space="preserve"> do </w:t>
      </w:r>
      <w:r w:rsidR="009C00C5" w:rsidRPr="00E8601E">
        <w:rPr>
          <w:rFonts w:ascii="Tahoma" w:hAnsi="Tahoma" w:cs="Tahoma"/>
          <w:sz w:val="20"/>
        </w:rPr>
        <w:t>a</w:t>
      </w:r>
      <w:r w:rsidR="00E26AA2" w:rsidRPr="00E8601E">
        <w:rPr>
          <w:rFonts w:ascii="Tahoma" w:hAnsi="Tahoma" w:cs="Tahoma"/>
          <w:sz w:val="20"/>
        </w:rPr>
        <w:t>rt. 2º</w:t>
      </w:r>
      <w:r w:rsidR="00E66D20" w:rsidRPr="00E8601E">
        <w:rPr>
          <w:rFonts w:ascii="Tahoma" w:hAnsi="Tahoma" w:cs="Tahoma"/>
          <w:sz w:val="20"/>
        </w:rPr>
        <w:t xml:space="preserve">, da </w:t>
      </w:r>
      <w:r w:rsidR="00E26AA2" w:rsidRPr="00E8601E">
        <w:rPr>
          <w:rFonts w:ascii="Tahoma" w:hAnsi="Tahoma" w:cs="Tahoma"/>
          <w:sz w:val="20"/>
        </w:rPr>
        <w:t xml:space="preserve">Portaria MPS nº </w:t>
      </w:r>
      <w:r w:rsidR="00E66D20" w:rsidRPr="00E8601E">
        <w:rPr>
          <w:rFonts w:ascii="Tahoma" w:hAnsi="Tahoma" w:cs="Tahoma"/>
          <w:sz w:val="20"/>
        </w:rPr>
        <w:t>519</w:t>
      </w:r>
      <w:r w:rsidR="00E26AA2" w:rsidRPr="00E8601E">
        <w:rPr>
          <w:rFonts w:ascii="Tahoma" w:hAnsi="Tahoma" w:cs="Tahoma"/>
          <w:sz w:val="20"/>
        </w:rPr>
        <w:t>/201</w:t>
      </w:r>
      <w:r w:rsidR="00E66D20" w:rsidRPr="00E8601E">
        <w:rPr>
          <w:rFonts w:ascii="Tahoma" w:hAnsi="Tahoma" w:cs="Tahoma"/>
          <w:sz w:val="20"/>
        </w:rPr>
        <w:t xml:space="preserve">1.O Comitê de Investimentos </w:t>
      </w:r>
      <w:r w:rsidR="00560717" w:rsidRPr="00E8601E">
        <w:rPr>
          <w:rFonts w:ascii="Tahoma" w:hAnsi="Tahoma" w:cs="Tahoma"/>
          <w:sz w:val="20"/>
        </w:rPr>
        <w:t xml:space="preserve">deverá respeitar e principalmente adequar-se as obrigatoriedades da Portaria nº 440/2013. </w:t>
      </w:r>
    </w:p>
    <w:p w:rsidR="00294DFF" w:rsidRPr="00E8601E" w:rsidRDefault="00294DFF" w:rsidP="00FC345B">
      <w:pPr>
        <w:spacing w:after="120"/>
        <w:jc w:val="both"/>
        <w:rPr>
          <w:rFonts w:ascii="Tahoma" w:hAnsi="Tahoma" w:cs="Tahoma"/>
          <w:b/>
          <w:sz w:val="20"/>
        </w:rPr>
      </w:pPr>
    </w:p>
    <w:p w:rsidR="00A358CF" w:rsidRPr="00E8601E" w:rsidRDefault="00A505DA" w:rsidP="00FC345B">
      <w:pPr>
        <w:spacing w:after="120"/>
        <w:jc w:val="both"/>
        <w:rPr>
          <w:rFonts w:ascii="Tahoma" w:hAnsi="Tahoma" w:cs="Tahoma"/>
          <w:b/>
          <w:sz w:val="20"/>
        </w:rPr>
      </w:pPr>
      <w:r w:rsidRPr="00E8601E">
        <w:rPr>
          <w:rFonts w:ascii="Tahoma" w:hAnsi="Tahoma" w:cs="Tahoma"/>
          <w:b/>
          <w:sz w:val="20"/>
        </w:rPr>
        <w:t>Competência dos Órgãos envolvidos na Gestão do</w:t>
      </w:r>
      <w:r w:rsidR="00A5616A" w:rsidRPr="00E8601E">
        <w:rPr>
          <w:rFonts w:ascii="Tahoma" w:hAnsi="Tahoma" w:cs="Tahoma"/>
          <w:b/>
          <w:sz w:val="20"/>
        </w:rPr>
        <w:t>s recursos do</w:t>
      </w:r>
      <w:r w:rsidRPr="00E8601E">
        <w:rPr>
          <w:rFonts w:ascii="Tahoma" w:hAnsi="Tahoma" w:cs="Tahoma"/>
          <w:b/>
          <w:sz w:val="20"/>
        </w:rPr>
        <w:t xml:space="preserve"> RPPS</w:t>
      </w:r>
    </w:p>
    <w:p w:rsidR="00A505DA" w:rsidRPr="00344EA0" w:rsidRDefault="00A505DA" w:rsidP="00FC345B">
      <w:pPr>
        <w:spacing w:after="120"/>
        <w:jc w:val="both"/>
        <w:rPr>
          <w:rFonts w:ascii="Tahoma" w:hAnsi="Tahoma" w:cs="Tahoma"/>
          <w:sz w:val="20"/>
        </w:rPr>
      </w:pPr>
      <w:r w:rsidRPr="00E8601E">
        <w:rPr>
          <w:rFonts w:ascii="Tahoma" w:hAnsi="Tahoma" w:cs="Tahoma"/>
          <w:sz w:val="20"/>
        </w:rPr>
        <w:t xml:space="preserve">Os órgãos envolvidos na gestão são: </w:t>
      </w:r>
      <w:r w:rsidRPr="00C27CE8">
        <w:rPr>
          <w:rFonts w:ascii="Tahoma" w:hAnsi="Tahoma" w:cs="Tahoma"/>
          <w:sz w:val="20"/>
        </w:rPr>
        <w:t xml:space="preserve">Conselho </w:t>
      </w:r>
      <w:r w:rsidR="00C27CE8" w:rsidRPr="00C27CE8">
        <w:rPr>
          <w:rFonts w:ascii="Tahoma" w:hAnsi="Tahoma" w:cs="Tahoma"/>
          <w:sz w:val="20"/>
        </w:rPr>
        <w:t>Municipal de Previdência</w:t>
      </w:r>
      <w:r w:rsidR="00C27CE8">
        <w:rPr>
          <w:rFonts w:ascii="Tahoma" w:hAnsi="Tahoma" w:cs="Tahoma"/>
          <w:sz w:val="20"/>
        </w:rPr>
        <w:t xml:space="preserve"> e</w:t>
      </w:r>
      <w:r w:rsidRPr="00344EA0">
        <w:rPr>
          <w:rFonts w:ascii="Tahoma" w:hAnsi="Tahoma" w:cs="Tahoma"/>
          <w:sz w:val="20"/>
        </w:rPr>
        <w:t xml:space="preserve"> o Comitê de Investimento. No que diz a respeito à elaboração e implementação da Política de Investimentos, cada órgão possui as seguintes competências:</w:t>
      </w:r>
    </w:p>
    <w:p w:rsidR="00A505DA" w:rsidRPr="00E8601E" w:rsidRDefault="00C27CE8" w:rsidP="00FC345B">
      <w:pPr>
        <w:spacing w:after="120"/>
        <w:jc w:val="both"/>
        <w:rPr>
          <w:rFonts w:ascii="Tahoma" w:hAnsi="Tahoma" w:cs="Tahoma"/>
          <w:i/>
          <w:sz w:val="20"/>
        </w:rPr>
      </w:pPr>
      <w:r w:rsidRPr="00C27CE8">
        <w:rPr>
          <w:rFonts w:ascii="Tahoma" w:hAnsi="Tahoma" w:cs="Tahoma"/>
          <w:i/>
          <w:sz w:val="20"/>
        </w:rPr>
        <w:t>Conselho Municipal de Previdência</w:t>
      </w:r>
    </w:p>
    <w:p w:rsidR="00A505DA" w:rsidRPr="00E8601E" w:rsidRDefault="00A505DA" w:rsidP="00FC345B">
      <w:pPr>
        <w:spacing w:after="120"/>
        <w:jc w:val="both"/>
        <w:rPr>
          <w:rFonts w:ascii="Tahoma" w:hAnsi="Tahoma" w:cs="Tahoma"/>
          <w:sz w:val="20"/>
        </w:rPr>
      </w:pPr>
      <w:r w:rsidRPr="00E8601E">
        <w:rPr>
          <w:rFonts w:ascii="Tahoma" w:hAnsi="Tahoma" w:cs="Tahoma"/>
          <w:sz w:val="20"/>
        </w:rPr>
        <w:t>Aprovar a Política de Investimento com base na legislação vigente, estabelecendo:</w:t>
      </w:r>
    </w:p>
    <w:p w:rsidR="00A505DA" w:rsidRPr="00E8601E" w:rsidRDefault="00A505DA" w:rsidP="00A505DA">
      <w:pPr>
        <w:pStyle w:val="PargrafodaLista"/>
        <w:numPr>
          <w:ilvl w:val="0"/>
          <w:numId w:val="2"/>
        </w:numPr>
        <w:spacing w:after="120"/>
        <w:jc w:val="both"/>
        <w:rPr>
          <w:rFonts w:ascii="Tahoma" w:hAnsi="Tahoma" w:cs="Tahoma"/>
          <w:sz w:val="20"/>
        </w:rPr>
      </w:pPr>
      <w:r w:rsidRPr="00E8601E">
        <w:rPr>
          <w:rFonts w:ascii="Tahoma" w:hAnsi="Tahoma" w:cs="Tahoma"/>
          <w:sz w:val="20"/>
        </w:rPr>
        <w:t xml:space="preserve">Os limites operacionais por segmento (Renda Fixa, </w:t>
      </w:r>
      <w:r w:rsidR="00E97D9E" w:rsidRPr="00E8601E">
        <w:rPr>
          <w:rFonts w:ascii="Tahoma" w:hAnsi="Tahoma" w:cs="Tahoma"/>
          <w:sz w:val="20"/>
        </w:rPr>
        <w:t>Renda Variável e Imóvel);</w:t>
      </w:r>
    </w:p>
    <w:p w:rsidR="00A505DA" w:rsidRPr="00E8601E" w:rsidRDefault="00A505DA" w:rsidP="00A505DA">
      <w:pPr>
        <w:pStyle w:val="PargrafodaLista"/>
        <w:numPr>
          <w:ilvl w:val="0"/>
          <w:numId w:val="2"/>
        </w:numPr>
        <w:spacing w:after="120"/>
        <w:jc w:val="both"/>
        <w:rPr>
          <w:rFonts w:ascii="Tahoma" w:hAnsi="Tahoma" w:cs="Tahoma"/>
          <w:sz w:val="20"/>
        </w:rPr>
      </w:pPr>
      <w:r w:rsidRPr="00E8601E">
        <w:rPr>
          <w:rFonts w:ascii="Tahoma" w:hAnsi="Tahoma" w:cs="Tahoma"/>
          <w:sz w:val="20"/>
        </w:rPr>
        <w:t>O percentual máximo do total de ativos dos planos a serem geridos como carteira própria;</w:t>
      </w:r>
    </w:p>
    <w:p w:rsidR="00A505DA" w:rsidRPr="00E8601E" w:rsidRDefault="00A505DA" w:rsidP="00A505DA">
      <w:pPr>
        <w:pStyle w:val="PargrafodaLista"/>
        <w:numPr>
          <w:ilvl w:val="0"/>
          <w:numId w:val="2"/>
        </w:numPr>
        <w:spacing w:after="120"/>
        <w:jc w:val="both"/>
        <w:rPr>
          <w:rFonts w:ascii="Tahoma" w:hAnsi="Tahoma" w:cs="Tahoma"/>
          <w:sz w:val="20"/>
        </w:rPr>
      </w:pPr>
      <w:r w:rsidRPr="00E8601E">
        <w:rPr>
          <w:rFonts w:ascii="Tahoma" w:hAnsi="Tahoma" w:cs="Tahoma"/>
          <w:sz w:val="20"/>
        </w:rPr>
        <w:t>Os planos de enquadramento às legislações vigentes.</w:t>
      </w:r>
    </w:p>
    <w:p w:rsidR="00A505DA" w:rsidRPr="00E8601E" w:rsidRDefault="00A505DA" w:rsidP="00FC345B">
      <w:pPr>
        <w:spacing w:after="120"/>
        <w:jc w:val="both"/>
        <w:rPr>
          <w:rFonts w:ascii="Tahoma" w:hAnsi="Tahoma" w:cs="Tahoma"/>
          <w:i/>
          <w:sz w:val="20"/>
        </w:rPr>
      </w:pPr>
      <w:r w:rsidRPr="00E8601E">
        <w:rPr>
          <w:rFonts w:ascii="Tahoma" w:hAnsi="Tahoma" w:cs="Tahoma"/>
          <w:i/>
          <w:sz w:val="20"/>
        </w:rPr>
        <w:t>Comitê de Investimentos</w:t>
      </w:r>
    </w:p>
    <w:p w:rsidR="00A505DA" w:rsidRPr="00E8601E" w:rsidRDefault="00A505DA" w:rsidP="00A505DA">
      <w:pPr>
        <w:pStyle w:val="PargrafodaLista"/>
        <w:numPr>
          <w:ilvl w:val="0"/>
          <w:numId w:val="3"/>
        </w:numPr>
        <w:spacing w:after="120"/>
        <w:jc w:val="both"/>
        <w:rPr>
          <w:rFonts w:ascii="Tahoma" w:hAnsi="Tahoma" w:cs="Tahoma"/>
          <w:sz w:val="20"/>
        </w:rPr>
      </w:pPr>
      <w:r w:rsidRPr="00E8601E">
        <w:rPr>
          <w:rFonts w:ascii="Tahoma" w:hAnsi="Tahoma" w:cs="Tahoma"/>
          <w:sz w:val="20"/>
        </w:rPr>
        <w:t>Estabelecer as diretrizes gerais da Política de Investimentos de gestão financeira dos recursos do regime previdenciário, submetendo-as ao devido órgão para aprovação;</w:t>
      </w:r>
    </w:p>
    <w:p w:rsidR="00A505DA" w:rsidRPr="00E8601E" w:rsidRDefault="00A505DA" w:rsidP="004A2FAB">
      <w:pPr>
        <w:pStyle w:val="PargrafodaLista"/>
        <w:numPr>
          <w:ilvl w:val="0"/>
          <w:numId w:val="3"/>
        </w:numPr>
        <w:spacing w:after="120"/>
        <w:jc w:val="both"/>
        <w:rPr>
          <w:rFonts w:ascii="Tahoma" w:hAnsi="Tahoma" w:cs="Tahoma"/>
          <w:sz w:val="20"/>
        </w:rPr>
      </w:pPr>
      <w:r w:rsidRPr="00E8601E">
        <w:rPr>
          <w:rFonts w:ascii="Tahoma" w:hAnsi="Tahoma" w:cs="Tahoma"/>
          <w:sz w:val="20"/>
        </w:rPr>
        <w:t>Propor e aprovar os planos de aplicação financeira dos recursos d</w:t>
      </w:r>
      <w:r w:rsidR="00E45BF2" w:rsidRPr="00E8601E">
        <w:rPr>
          <w:rFonts w:ascii="Tahoma" w:hAnsi="Tahoma" w:cs="Tahoma"/>
          <w:sz w:val="20"/>
        </w:rPr>
        <w:t>o regime previdenciário em conso</w:t>
      </w:r>
      <w:r w:rsidRPr="00E8601E">
        <w:rPr>
          <w:rFonts w:ascii="Tahoma" w:hAnsi="Tahoma" w:cs="Tahoma"/>
          <w:sz w:val="20"/>
        </w:rPr>
        <w:t xml:space="preserve">nância com a Resolução </w:t>
      </w:r>
      <w:r w:rsidR="004A2FAB" w:rsidRPr="004A2FAB">
        <w:rPr>
          <w:rFonts w:ascii="Tahoma" w:hAnsi="Tahoma" w:cs="Tahoma"/>
          <w:sz w:val="20"/>
        </w:rPr>
        <w:t>RESOLUÇÃO CMN 3.922/2010 E COM AS ALTERAÇÕES DESCRITAS NA RESOLUÇÃO 4.604/2017</w:t>
      </w:r>
      <w:r w:rsidRPr="00E8601E">
        <w:rPr>
          <w:rFonts w:ascii="Tahoma" w:hAnsi="Tahoma" w:cs="Tahoma"/>
          <w:sz w:val="20"/>
        </w:rPr>
        <w:t>do Conselho Monetário Nacional e eventuais alterações;</w:t>
      </w:r>
    </w:p>
    <w:p w:rsidR="00A505DA" w:rsidRPr="00E8601E" w:rsidRDefault="00A505DA" w:rsidP="00A505DA">
      <w:pPr>
        <w:pStyle w:val="PargrafodaLista"/>
        <w:numPr>
          <w:ilvl w:val="0"/>
          <w:numId w:val="3"/>
        </w:numPr>
        <w:spacing w:after="120"/>
        <w:jc w:val="both"/>
        <w:rPr>
          <w:rFonts w:ascii="Tahoma" w:hAnsi="Tahoma" w:cs="Tahoma"/>
          <w:sz w:val="20"/>
        </w:rPr>
      </w:pPr>
      <w:r w:rsidRPr="00E8601E">
        <w:rPr>
          <w:rFonts w:ascii="Tahoma" w:hAnsi="Tahoma" w:cs="Tahoma"/>
          <w:sz w:val="20"/>
        </w:rPr>
        <w:t>Analisar a adoção de me</w:t>
      </w:r>
      <w:r w:rsidR="00E45BF2" w:rsidRPr="00E8601E">
        <w:rPr>
          <w:rFonts w:ascii="Tahoma" w:hAnsi="Tahoma" w:cs="Tahoma"/>
          <w:sz w:val="20"/>
        </w:rPr>
        <w:t>l</w:t>
      </w:r>
      <w:r w:rsidRPr="00E8601E">
        <w:rPr>
          <w:rFonts w:ascii="Tahoma" w:hAnsi="Tahoma" w:cs="Tahoma"/>
          <w:sz w:val="20"/>
        </w:rPr>
        <w:t>hores estratégias para as aplicações dos recursos, visando o cumprimento da meta atuarial;</w:t>
      </w:r>
    </w:p>
    <w:p w:rsidR="00A505DA" w:rsidRPr="00E8601E" w:rsidRDefault="00E56ECC" w:rsidP="00A505DA">
      <w:pPr>
        <w:pStyle w:val="PargrafodaLista"/>
        <w:numPr>
          <w:ilvl w:val="0"/>
          <w:numId w:val="3"/>
        </w:numPr>
        <w:spacing w:after="120"/>
        <w:jc w:val="both"/>
        <w:rPr>
          <w:rFonts w:ascii="Tahoma" w:hAnsi="Tahoma" w:cs="Tahoma"/>
          <w:sz w:val="20"/>
        </w:rPr>
      </w:pPr>
      <w:r w:rsidRPr="00E8601E">
        <w:rPr>
          <w:rFonts w:ascii="Tahoma" w:hAnsi="Tahoma" w:cs="Tahoma"/>
          <w:sz w:val="20"/>
        </w:rPr>
        <w:t>Apre</w:t>
      </w:r>
      <w:r w:rsidR="00E45BF2" w:rsidRPr="00E8601E">
        <w:rPr>
          <w:rFonts w:ascii="Tahoma" w:hAnsi="Tahoma" w:cs="Tahoma"/>
          <w:sz w:val="20"/>
        </w:rPr>
        <w:t>ciar mensalmente o cenário Econô</w:t>
      </w:r>
      <w:r w:rsidRPr="00E8601E">
        <w:rPr>
          <w:rFonts w:ascii="Tahoma" w:hAnsi="Tahoma" w:cs="Tahoma"/>
          <w:sz w:val="20"/>
        </w:rPr>
        <w:t>mico-Financeiro de curto, médio e longo prazo;</w:t>
      </w:r>
    </w:p>
    <w:p w:rsidR="00E56ECC" w:rsidRPr="00E8601E" w:rsidRDefault="00E56ECC" w:rsidP="00A505DA">
      <w:pPr>
        <w:pStyle w:val="PargrafodaLista"/>
        <w:numPr>
          <w:ilvl w:val="0"/>
          <w:numId w:val="3"/>
        </w:numPr>
        <w:spacing w:after="120"/>
        <w:jc w:val="both"/>
        <w:rPr>
          <w:rFonts w:ascii="Tahoma" w:hAnsi="Tahoma" w:cs="Tahoma"/>
          <w:sz w:val="20"/>
        </w:rPr>
      </w:pPr>
      <w:r w:rsidRPr="00E8601E">
        <w:rPr>
          <w:rFonts w:ascii="Tahoma" w:hAnsi="Tahoma" w:cs="Tahoma"/>
          <w:sz w:val="20"/>
        </w:rPr>
        <w:t>Observar e aplicar os limites de alocações de acordo com as normas do BACEN;</w:t>
      </w:r>
    </w:p>
    <w:p w:rsidR="00E56ECC" w:rsidRPr="00E8601E" w:rsidRDefault="00E56ECC" w:rsidP="00A505DA">
      <w:pPr>
        <w:pStyle w:val="PargrafodaLista"/>
        <w:numPr>
          <w:ilvl w:val="0"/>
          <w:numId w:val="3"/>
        </w:numPr>
        <w:spacing w:after="120"/>
        <w:jc w:val="both"/>
        <w:rPr>
          <w:rFonts w:ascii="Tahoma" w:hAnsi="Tahoma" w:cs="Tahoma"/>
          <w:sz w:val="20"/>
        </w:rPr>
      </w:pPr>
      <w:r w:rsidRPr="00E8601E">
        <w:rPr>
          <w:rFonts w:ascii="Tahoma" w:hAnsi="Tahoma" w:cs="Tahoma"/>
          <w:sz w:val="20"/>
        </w:rPr>
        <w:t>Deliberar, após as devidas análises, sobre aplicações em novas instituições financeiras;</w:t>
      </w:r>
    </w:p>
    <w:p w:rsidR="00E56ECC" w:rsidRPr="00E8601E" w:rsidRDefault="00E56ECC" w:rsidP="00A505DA">
      <w:pPr>
        <w:pStyle w:val="PargrafodaLista"/>
        <w:numPr>
          <w:ilvl w:val="0"/>
          <w:numId w:val="3"/>
        </w:numPr>
        <w:spacing w:after="120"/>
        <w:jc w:val="both"/>
        <w:rPr>
          <w:rFonts w:ascii="Tahoma" w:hAnsi="Tahoma" w:cs="Tahoma"/>
          <w:sz w:val="20"/>
        </w:rPr>
      </w:pPr>
      <w:r w:rsidRPr="00E8601E">
        <w:rPr>
          <w:rFonts w:ascii="Tahoma" w:hAnsi="Tahoma" w:cs="Tahoma"/>
          <w:sz w:val="20"/>
        </w:rPr>
        <w:lastRenderedPageBreak/>
        <w:t xml:space="preserve">Analisar taxas de juros, administração e de </w:t>
      </w:r>
      <w:r w:rsidRPr="00E8601E">
        <w:rPr>
          <w:rFonts w:ascii="Tahoma" w:hAnsi="Tahoma" w:cs="Tahoma"/>
          <w:i/>
          <w:sz w:val="20"/>
        </w:rPr>
        <w:t>performance</w:t>
      </w:r>
      <w:r w:rsidRPr="00E8601E">
        <w:rPr>
          <w:rFonts w:ascii="Tahoma" w:hAnsi="Tahoma" w:cs="Tahoma"/>
          <w:sz w:val="20"/>
        </w:rPr>
        <w:t xml:space="preserve"> das aplicações existentes e as que vierem a ser realizadas;</w:t>
      </w:r>
    </w:p>
    <w:p w:rsidR="00E56ECC" w:rsidRDefault="00E56ECC" w:rsidP="00A505DA">
      <w:pPr>
        <w:pStyle w:val="PargrafodaLista"/>
        <w:numPr>
          <w:ilvl w:val="0"/>
          <w:numId w:val="3"/>
        </w:numPr>
        <w:spacing w:after="120"/>
        <w:jc w:val="both"/>
        <w:rPr>
          <w:rFonts w:ascii="Tahoma" w:hAnsi="Tahoma" w:cs="Tahoma"/>
          <w:sz w:val="20"/>
        </w:rPr>
      </w:pPr>
      <w:r w:rsidRPr="00E8601E">
        <w:rPr>
          <w:rFonts w:ascii="Tahoma" w:hAnsi="Tahoma" w:cs="Tahoma"/>
          <w:sz w:val="20"/>
        </w:rPr>
        <w:t>Fornecer subsídios a Diretoria e ao Conselho na seleção de gestores, bem co</w:t>
      </w:r>
      <w:r w:rsidR="00E45BF2" w:rsidRPr="00E8601E">
        <w:rPr>
          <w:rFonts w:ascii="Tahoma" w:hAnsi="Tahoma" w:cs="Tahoma"/>
          <w:sz w:val="20"/>
        </w:rPr>
        <w:t>mo</w:t>
      </w:r>
      <w:r w:rsidRPr="00E8601E">
        <w:rPr>
          <w:rFonts w:ascii="Tahoma" w:hAnsi="Tahoma" w:cs="Tahoma"/>
          <w:sz w:val="20"/>
        </w:rPr>
        <w:t xml:space="preserve"> se for o caso, a recomendação de</w:t>
      </w:r>
      <w:r w:rsidR="00F709A8" w:rsidRPr="00E8601E">
        <w:rPr>
          <w:rFonts w:ascii="Tahoma" w:hAnsi="Tahoma" w:cs="Tahoma"/>
          <w:sz w:val="20"/>
        </w:rPr>
        <w:t xml:space="preserve"> exclusão que julgar procedente.</w:t>
      </w:r>
    </w:p>
    <w:p w:rsidR="00C27CE8" w:rsidRDefault="00C27CE8" w:rsidP="00FC345B">
      <w:pPr>
        <w:spacing w:after="120"/>
        <w:jc w:val="both"/>
        <w:rPr>
          <w:rFonts w:ascii="Tahoma" w:hAnsi="Tahoma" w:cs="Tahoma"/>
          <w:b/>
          <w:sz w:val="20"/>
        </w:rPr>
      </w:pPr>
    </w:p>
    <w:p w:rsidR="005B782C" w:rsidRPr="00E8601E" w:rsidRDefault="00A358CF" w:rsidP="00FC345B">
      <w:pPr>
        <w:spacing w:after="120"/>
        <w:jc w:val="both"/>
        <w:rPr>
          <w:rFonts w:ascii="Tahoma" w:hAnsi="Tahoma" w:cs="Tahoma"/>
          <w:b/>
          <w:sz w:val="20"/>
        </w:rPr>
      </w:pPr>
      <w:r w:rsidRPr="00E8601E">
        <w:rPr>
          <w:rFonts w:ascii="Tahoma" w:hAnsi="Tahoma" w:cs="Tahoma"/>
          <w:b/>
          <w:sz w:val="20"/>
        </w:rPr>
        <w:t>Objetivo de Alocação</w:t>
      </w:r>
    </w:p>
    <w:p w:rsidR="00A358CF" w:rsidRPr="00E8601E" w:rsidRDefault="00A358CF" w:rsidP="00A358CF">
      <w:pPr>
        <w:spacing w:after="120"/>
        <w:jc w:val="both"/>
        <w:rPr>
          <w:rFonts w:ascii="Tahoma" w:hAnsi="Tahoma" w:cs="Tahoma"/>
          <w:sz w:val="20"/>
        </w:rPr>
      </w:pPr>
      <w:r w:rsidRPr="00E8601E">
        <w:rPr>
          <w:rFonts w:ascii="Tahoma" w:hAnsi="Tahoma" w:cs="Tahoma"/>
          <w:sz w:val="20"/>
        </w:rPr>
        <w:t>É importante ressaltar que, seja qual for à alocação de ativos, o mercado apresentará períodos adversos, que poderá afetar ao menos parte da carteira. Daí ser imperativo um horizonte de tempo que possa ajustar essas flutuações e permitir a recuperação da ocorrência de ocasionais perdas. Desta forma, o RPPS deve manter-se fiel à política de investimentos definida originalmente a partir do seu perfil de risco.</w:t>
      </w:r>
    </w:p>
    <w:p w:rsidR="00A358CF" w:rsidRPr="00E8601E" w:rsidRDefault="00A358CF" w:rsidP="00A358CF">
      <w:pPr>
        <w:spacing w:after="120"/>
        <w:jc w:val="both"/>
        <w:rPr>
          <w:rFonts w:ascii="Tahoma" w:hAnsi="Tahoma" w:cs="Tahoma"/>
          <w:b/>
          <w:sz w:val="20"/>
        </w:rPr>
      </w:pPr>
      <w:r w:rsidRPr="00E8601E">
        <w:rPr>
          <w:rFonts w:ascii="Tahoma" w:hAnsi="Tahoma" w:cs="Tahoma"/>
          <w:sz w:val="20"/>
        </w:rPr>
        <w:t>E de forma organizada, remanejar a alocação inicial em momentos de alta (vendendo) ou baixa (comprando) com o objetivo de rebalancear sua carteira de investimentos. Três virtudes básicas de um bom investidor são fundamentais: disciplina, paciência e diversificação</w:t>
      </w:r>
      <w:r w:rsidRPr="00E8601E">
        <w:rPr>
          <w:rFonts w:ascii="Tahoma" w:hAnsi="Tahoma" w:cs="Tahoma"/>
          <w:b/>
          <w:sz w:val="20"/>
        </w:rPr>
        <w:t>.</w:t>
      </w:r>
    </w:p>
    <w:p w:rsidR="00A358CF" w:rsidRPr="00E8601E" w:rsidRDefault="00A358CF" w:rsidP="00FC345B">
      <w:pPr>
        <w:spacing w:after="120"/>
        <w:jc w:val="both"/>
        <w:rPr>
          <w:rFonts w:ascii="Tahoma" w:hAnsi="Tahoma" w:cs="Tahoma"/>
          <w:b/>
          <w:sz w:val="20"/>
        </w:rPr>
      </w:pPr>
    </w:p>
    <w:p w:rsidR="0030085B" w:rsidRPr="00E8601E" w:rsidRDefault="00172376" w:rsidP="00310447">
      <w:pPr>
        <w:pStyle w:val="Subttulo"/>
        <w:rPr>
          <w:sz w:val="20"/>
        </w:rPr>
      </w:pPr>
      <w:bookmarkStart w:id="51" w:name="_Toc436036997"/>
      <w:bookmarkStart w:id="52" w:name="_Toc496874718"/>
      <w:r w:rsidRPr="00E8601E">
        <w:rPr>
          <w:sz w:val="20"/>
        </w:rPr>
        <w:t>Das Alocações dos Recursos</w:t>
      </w:r>
      <w:bookmarkEnd w:id="51"/>
      <w:bookmarkEnd w:id="52"/>
    </w:p>
    <w:p w:rsidR="00E75DEA" w:rsidRPr="00E8601E" w:rsidRDefault="00492B7D" w:rsidP="00FC345B">
      <w:pPr>
        <w:spacing w:after="120"/>
        <w:jc w:val="both"/>
        <w:outlineLvl w:val="2"/>
        <w:rPr>
          <w:rStyle w:val="nfaseSutil"/>
          <w:sz w:val="20"/>
        </w:rPr>
      </w:pPr>
      <w:bookmarkStart w:id="53" w:name="_Toc436036998"/>
      <w:bookmarkStart w:id="54" w:name="_Toc496874719"/>
      <w:r w:rsidRPr="00E8601E">
        <w:rPr>
          <w:rStyle w:val="nfaseSutil"/>
          <w:sz w:val="20"/>
        </w:rPr>
        <w:t>Dos Segmentos</w:t>
      </w:r>
      <w:bookmarkEnd w:id="53"/>
      <w:bookmarkEnd w:id="54"/>
    </w:p>
    <w:p w:rsidR="005B782C" w:rsidRPr="00E8601E" w:rsidRDefault="005B782C" w:rsidP="00FC345B">
      <w:pPr>
        <w:spacing w:after="120"/>
        <w:jc w:val="both"/>
        <w:rPr>
          <w:rFonts w:ascii="Tahoma" w:hAnsi="Tahoma" w:cs="Tahoma"/>
          <w:i/>
          <w:sz w:val="20"/>
        </w:rPr>
      </w:pPr>
      <w:r w:rsidRPr="00E8601E">
        <w:rPr>
          <w:rFonts w:ascii="Tahoma" w:hAnsi="Tahoma" w:cs="Tahoma"/>
          <w:i/>
          <w:sz w:val="20"/>
        </w:rPr>
        <w:t>Segmento de Renda Fixa</w:t>
      </w:r>
    </w:p>
    <w:p w:rsidR="005B782C" w:rsidRPr="00E8601E" w:rsidRDefault="005B782C" w:rsidP="00FC345B">
      <w:pPr>
        <w:spacing w:after="120"/>
        <w:jc w:val="both"/>
        <w:rPr>
          <w:rFonts w:ascii="Tahoma" w:hAnsi="Tahoma" w:cs="Tahoma"/>
          <w:sz w:val="20"/>
        </w:rPr>
      </w:pPr>
      <w:r w:rsidRPr="00E8601E">
        <w:rPr>
          <w:rFonts w:ascii="Tahoma" w:hAnsi="Tahoma" w:cs="Tahoma"/>
          <w:sz w:val="20"/>
        </w:rPr>
        <w:t>Benchmark</w:t>
      </w:r>
      <w:r w:rsidR="00066352" w:rsidRPr="00E8601E">
        <w:rPr>
          <w:rFonts w:ascii="Tahoma" w:hAnsi="Tahoma" w:cs="Tahoma"/>
          <w:sz w:val="20"/>
        </w:rPr>
        <w:t>.</w:t>
      </w:r>
      <w:r w:rsidR="00235B98" w:rsidRPr="00E8601E">
        <w:rPr>
          <w:rFonts w:ascii="Tahoma" w:hAnsi="Tahoma" w:cs="Tahoma"/>
          <w:sz w:val="20"/>
        </w:rPr>
        <w:t xml:space="preserve"> I</w:t>
      </w:r>
      <w:r w:rsidR="00442B3C" w:rsidRPr="00E8601E">
        <w:rPr>
          <w:rFonts w:ascii="Tahoma" w:hAnsi="Tahoma" w:cs="Tahoma"/>
          <w:sz w:val="20"/>
        </w:rPr>
        <w:t>N</w:t>
      </w:r>
      <w:r w:rsidR="00235B98" w:rsidRPr="00E8601E">
        <w:rPr>
          <w:rFonts w:ascii="Tahoma" w:hAnsi="Tahoma" w:cs="Tahoma"/>
          <w:sz w:val="20"/>
        </w:rPr>
        <w:t xml:space="preserve">PC </w:t>
      </w:r>
      <w:r w:rsidRPr="00E8601E">
        <w:rPr>
          <w:rFonts w:ascii="Tahoma" w:hAnsi="Tahoma" w:cs="Tahoma"/>
          <w:sz w:val="20"/>
        </w:rPr>
        <w:t>+ 6% a.a.</w:t>
      </w:r>
      <w:r w:rsidR="00066352" w:rsidRPr="00E8601E">
        <w:rPr>
          <w:rFonts w:ascii="Tahoma" w:hAnsi="Tahoma" w:cs="Tahoma"/>
          <w:sz w:val="20"/>
        </w:rPr>
        <w:t>, equivalente à meta atuarial.</w:t>
      </w:r>
    </w:p>
    <w:p w:rsidR="005B782C" w:rsidRPr="00E8601E" w:rsidRDefault="005B782C" w:rsidP="00FC345B">
      <w:pPr>
        <w:spacing w:after="120"/>
        <w:jc w:val="both"/>
        <w:rPr>
          <w:rFonts w:ascii="Tahoma" w:hAnsi="Tahoma" w:cs="Tahoma"/>
          <w:sz w:val="20"/>
        </w:rPr>
      </w:pPr>
      <w:r w:rsidRPr="00E8601E">
        <w:rPr>
          <w:rFonts w:ascii="Tahoma" w:hAnsi="Tahoma" w:cs="Tahoma"/>
          <w:sz w:val="20"/>
        </w:rPr>
        <w:t>Ativos Elegíveis</w:t>
      </w:r>
      <w:r w:rsidR="00066352" w:rsidRPr="00E8601E">
        <w:rPr>
          <w:rFonts w:ascii="Tahoma" w:hAnsi="Tahoma" w:cs="Tahoma"/>
          <w:sz w:val="20"/>
        </w:rPr>
        <w:t xml:space="preserve">. </w:t>
      </w:r>
      <w:r w:rsidRPr="00E8601E">
        <w:rPr>
          <w:rFonts w:ascii="Tahoma" w:hAnsi="Tahoma" w:cs="Tahoma"/>
          <w:sz w:val="20"/>
        </w:rPr>
        <w:t xml:space="preserve">Serão considerados ativos elegíveis para o segmento de renda fixa, os títulos e valores mobiliários permitidos pela legislação vigente aplicável ao </w:t>
      </w:r>
      <w:r w:rsidR="00066352" w:rsidRPr="00E8601E">
        <w:rPr>
          <w:rFonts w:ascii="Tahoma" w:hAnsi="Tahoma" w:cs="Tahoma"/>
          <w:sz w:val="20"/>
        </w:rPr>
        <w:t>regime próprio de previdência social</w:t>
      </w:r>
      <w:r w:rsidRPr="00E8601E">
        <w:rPr>
          <w:rFonts w:ascii="Tahoma" w:hAnsi="Tahoma" w:cs="Tahoma"/>
          <w:sz w:val="20"/>
        </w:rPr>
        <w:t xml:space="preserve">.Deverão ser observados os limites e categorias de fundos do segmento de renda fixa definidos na Resolução </w:t>
      </w:r>
      <w:r w:rsidR="004A2FAB" w:rsidRPr="0093685B">
        <w:rPr>
          <w:rFonts w:ascii="Tahoma" w:hAnsi="Tahoma" w:cs="Tahoma"/>
          <w:sz w:val="20"/>
        </w:rPr>
        <w:t>CMN 3.922/2010 e com as alterações descritas na resolução 4.604/2017</w:t>
      </w:r>
      <w:r w:rsidR="00160EBB" w:rsidRPr="00E8601E">
        <w:rPr>
          <w:rFonts w:ascii="Tahoma" w:hAnsi="Tahoma" w:cs="Tahoma"/>
          <w:sz w:val="20"/>
        </w:rPr>
        <w:t>e nesta política anual de investimentos</w:t>
      </w:r>
      <w:r w:rsidRPr="00E8601E">
        <w:rPr>
          <w:rFonts w:ascii="Tahoma" w:hAnsi="Tahoma" w:cs="Tahoma"/>
          <w:sz w:val="20"/>
        </w:rPr>
        <w:t xml:space="preserve">.No caso de operações realizadas no mercado secundário (compra </w:t>
      </w:r>
      <w:r w:rsidR="00055F30" w:rsidRPr="00E8601E">
        <w:rPr>
          <w:rFonts w:ascii="Tahoma" w:hAnsi="Tahoma" w:cs="Tahoma"/>
          <w:sz w:val="20"/>
        </w:rPr>
        <w:t>e</w:t>
      </w:r>
      <w:r w:rsidRPr="00E8601E">
        <w:rPr>
          <w:rFonts w:ascii="Tahoma" w:hAnsi="Tahoma" w:cs="Tahoma"/>
          <w:sz w:val="20"/>
        </w:rPr>
        <w:t xml:space="preserve"> venda de títulos públicos) o </w:t>
      </w:r>
      <w:r w:rsidR="00055F30" w:rsidRPr="00E8601E">
        <w:rPr>
          <w:rFonts w:ascii="Tahoma" w:hAnsi="Tahoma" w:cs="Tahoma"/>
          <w:sz w:val="20"/>
        </w:rPr>
        <w:t xml:space="preserve">regime próprio de previdência </w:t>
      </w:r>
      <w:r w:rsidR="00055F30" w:rsidRPr="00344EA0">
        <w:rPr>
          <w:rFonts w:ascii="Tahoma" w:hAnsi="Tahoma" w:cs="Tahoma"/>
          <w:sz w:val="20"/>
        </w:rPr>
        <w:t>social do</w:t>
      </w:r>
      <w:r w:rsidR="00C27CE8" w:rsidRPr="00344EA0">
        <w:rPr>
          <w:rFonts w:ascii="Tahoma" w:hAnsi="Tahoma" w:cs="Tahoma"/>
          <w:b/>
          <w:sz w:val="20"/>
        </w:rPr>
        <w:t xml:space="preserve">MUNICÍPIO DE </w:t>
      </w:r>
      <w:r w:rsidR="00C27CE8" w:rsidRPr="009A5912">
        <w:rPr>
          <w:rFonts w:ascii="Tahoma" w:hAnsi="Tahoma" w:cs="Tahoma"/>
          <w:b/>
          <w:sz w:val="20"/>
        </w:rPr>
        <w:t>RIO DOS ÍNDIOS</w:t>
      </w:r>
      <w:r w:rsidRPr="00344EA0">
        <w:rPr>
          <w:rFonts w:ascii="Tahoma" w:hAnsi="Tahoma" w:cs="Tahoma"/>
          <w:sz w:val="20"/>
        </w:rPr>
        <w:t>deverá realizar</w:t>
      </w:r>
      <w:r w:rsidRPr="00E8601E">
        <w:rPr>
          <w:rFonts w:ascii="Tahoma" w:hAnsi="Tahoma" w:cs="Tahoma"/>
          <w:sz w:val="20"/>
        </w:rPr>
        <w:t xml:space="preserve"> o acompanhamento dos preços e taxas praticados em tais operações e compará-los aos preços e taxas </w:t>
      </w:r>
      <w:r w:rsidR="00160EBB" w:rsidRPr="00E8601E">
        <w:rPr>
          <w:rFonts w:ascii="Tahoma" w:hAnsi="Tahoma" w:cs="Tahoma"/>
          <w:sz w:val="20"/>
        </w:rPr>
        <w:t xml:space="preserve">de </w:t>
      </w:r>
      <w:r w:rsidRPr="00E8601E">
        <w:rPr>
          <w:rFonts w:ascii="Tahoma" w:hAnsi="Tahoma" w:cs="Tahoma"/>
          <w:sz w:val="20"/>
        </w:rPr>
        <w:t>referência d</w:t>
      </w:r>
      <w:r w:rsidR="00160EBB" w:rsidRPr="00E8601E">
        <w:rPr>
          <w:rFonts w:ascii="Tahoma" w:hAnsi="Tahoma" w:cs="Tahoma"/>
          <w:sz w:val="20"/>
        </w:rPr>
        <w:t>o</w:t>
      </w:r>
      <w:r w:rsidRPr="00E8601E">
        <w:rPr>
          <w:rFonts w:ascii="Tahoma" w:hAnsi="Tahoma" w:cs="Tahoma"/>
          <w:sz w:val="20"/>
        </w:rPr>
        <w:t xml:space="preserve"> mercado (AN</w:t>
      </w:r>
      <w:r w:rsidR="00016059" w:rsidRPr="00E8601E">
        <w:rPr>
          <w:rFonts w:ascii="Tahoma" w:hAnsi="Tahoma" w:cs="Tahoma"/>
          <w:sz w:val="20"/>
        </w:rPr>
        <w:t>B</w:t>
      </w:r>
      <w:r w:rsidRPr="00E8601E">
        <w:rPr>
          <w:rFonts w:ascii="Tahoma" w:hAnsi="Tahoma" w:cs="Tahoma"/>
          <w:sz w:val="20"/>
        </w:rPr>
        <w:t>IMA e Tesouro Nacional).</w:t>
      </w:r>
    </w:p>
    <w:p w:rsidR="00B51440" w:rsidRDefault="00B51440" w:rsidP="00FC345B">
      <w:pPr>
        <w:spacing w:after="120"/>
        <w:jc w:val="both"/>
        <w:rPr>
          <w:rFonts w:ascii="Tahoma" w:hAnsi="Tahoma" w:cs="Tahoma"/>
          <w:i/>
          <w:sz w:val="20"/>
        </w:rPr>
      </w:pPr>
    </w:p>
    <w:p w:rsidR="005B782C" w:rsidRPr="00E8601E" w:rsidRDefault="005B782C" w:rsidP="00FC345B">
      <w:pPr>
        <w:spacing w:after="120"/>
        <w:jc w:val="both"/>
        <w:rPr>
          <w:rFonts w:ascii="Tahoma" w:hAnsi="Tahoma" w:cs="Tahoma"/>
          <w:i/>
          <w:sz w:val="20"/>
        </w:rPr>
      </w:pPr>
      <w:r w:rsidRPr="00E8601E">
        <w:rPr>
          <w:rFonts w:ascii="Tahoma" w:hAnsi="Tahoma" w:cs="Tahoma"/>
          <w:i/>
          <w:sz w:val="20"/>
        </w:rPr>
        <w:t>Segmento de Renda Variável</w:t>
      </w:r>
    </w:p>
    <w:p w:rsidR="005B782C" w:rsidRPr="00E8601E" w:rsidRDefault="00066352" w:rsidP="00FC345B">
      <w:pPr>
        <w:spacing w:after="120"/>
        <w:jc w:val="both"/>
        <w:rPr>
          <w:rFonts w:ascii="Tahoma" w:hAnsi="Tahoma" w:cs="Tahoma"/>
          <w:sz w:val="20"/>
        </w:rPr>
      </w:pPr>
      <w:r w:rsidRPr="00E8601E">
        <w:rPr>
          <w:rFonts w:ascii="Tahoma" w:hAnsi="Tahoma" w:cs="Tahoma"/>
          <w:sz w:val="20"/>
        </w:rPr>
        <w:t xml:space="preserve">Benchmark. </w:t>
      </w:r>
      <w:r w:rsidR="005B782C" w:rsidRPr="00E8601E">
        <w:rPr>
          <w:rFonts w:ascii="Tahoma" w:hAnsi="Tahoma" w:cs="Tahoma"/>
          <w:sz w:val="20"/>
        </w:rPr>
        <w:t xml:space="preserve">Ibovespa </w:t>
      </w:r>
      <w:r w:rsidR="00AE2F86" w:rsidRPr="00E8601E">
        <w:rPr>
          <w:rFonts w:ascii="Tahoma" w:hAnsi="Tahoma" w:cs="Tahoma"/>
          <w:sz w:val="20"/>
        </w:rPr>
        <w:t>e</w:t>
      </w:r>
      <w:r w:rsidR="00235B98" w:rsidRPr="00E8601E">
        <w:rPr>
          <w:rFonts w:ascii="Tahoma" w:hAnsi="Tahoma" w:cs="Tahoma"/>
          <w:sz w:val="20"/>
        </w:rPr>
        <w:t xml:space="preserve"> I</w:t>
      </w:r>
      <w:r w:rsidR="00442B3C" w:rsidRPr="00E8601E">
        <w:rPr>
          <w:rFonts w:ascii="Tahoma" w:hAnsi="Tahoma" w:cs="Tahoma"/>
          <w:sz w:val="20"/>
        </w:rPr>
        <w:t>N</w:t>
      </w:r>
      <w:r w:rsidR="00235B98" w:rsidRPr="00E8601E">
        <w:rPr>
          <w:rFonts w:ascii="Tahoma" w:hAnsi="Tahoma" w:cs="Tahoma"/>
          <w:sz w:val="20"/>
        </w:rPr>
        <w:t xml:space="preserve">PC </w:t>
      </w:r>
      <w:r w:rsidR="00AE2F86" w:rsidRPr="00E8601E">
        <w:rPr>
          <w:rFonts w:ascii="Tahoma" w:hAnsi="Tahoma" w:cs="Tahoma"/>
          <w:sz w:val="20"/>
        </w:rPr>
        <w:t>+ 6%, equivalente à meta atuarial.</w:t>
      </w:r>
    </w:p>
    <w:p w:rsidR="005B782C" w:rsidRPr="00E8601E" w:rsidRDefault="005B782C" w:rsidP="00FC345B">
      <w:pPr>
        <w:spacing w:after="120"/>
        <w:jc w:val="both"/>
        <w:rPr>
          <w:rFonts w:ascii="Tahoma" w:hAnsi="Tahoma" w:cs="Tahoma"/>
          <w:sz w:val="20"/>
        </w:rPr>
      </w:pPr>
      <w:r w:rsidRPr="00E8601E">
        <w:rPr>
          <w:rFonts w:ascii="Tahoma" w:hAnsi="Tahoma" w:cs="Tahoma"/>
          <w:sz w:val="20"/>
        </w:rPr>
        <w:t>Ativos Elegíveis</w:t>
      </w:r>
      <w:r w:rsidR="00066352" w:rsidRPr="00E8601E">
        <w:rPr>
          <w:rFonts w:ascii="Tahoma" w:hAnsi="Tahoma" w:cs="Tahoma"/>
          <w:sz w:val="20"/>
        </w:rPr>
        <w:t xml:space="preserve">.  </w:t>
      </w:r>
      <w:r w:rsidRPr="00E8601E">
        <w:rPr>
          <w:rFonts w:ascii="Tahoma" w:hAnsi="Tahoma" w:cs="Tahoma"/>
          <w:sz w:val="20"/>
        </w:rPr>
        <w:t>Serão considerados ativos elegíveis para o segmento de renda variável os títulos e valores mobiliários permitidos pela legislação vigente aplicável aos RPPS.</w:t>
      </w:r>
      <w:r w:rsidR="00160EBB" w:rsidRPr="00E8601E">
        <w:rPr>
          <w:rFonts w:ascii="Tahoma" w:hAnsi="Tahoma" w:cs="Tahoma"/>
          <w:sz w:val="20"/>
        </w:rPr>
        <w:t>Deverão ser observados os limites e categorias de fundos do segmento de renda variável definido</w:t>
      </w:r>
      <w:r w:rsidR="00335F22" w:rsidRPr="00E8601E">
        <w:rPr>
          <w:rFonts w:ascii="Tahoma" w:hAnsi="Tahoma" w:cs="Tahoma"/>
          <w:sz w:val="20"/>
        </w:rPr>
        <w:t xml:space="preserve">s na Resolução </w:t>
      </w:r>
      <w:r w:rsidR="004A2FAB" w:rsidRPr="0093685B">
        <w:rPr>
          <w:rFonts w:ascii="Tahoma" w:hAnsi="Tahoma" w:cs="Tahoma"/>
          <w:sz w:val="20"/>
        </w:rPr>
        <w:t>CMN 3.922/2010 e com as alterações descritas na resolução 4.604/2017</w:t>
      </w:r>
      <w:r w:rsidR="00160EBB" w:rsidRPr="00E8601E">
        <w:rPr>
          <w:rFonts w:ascii="Tahoma" w:hAnsi="Tahoma" w:cs="Tahoma"/>
          <w:sz w:val="20"/>
        </w:rPr>
        <w:t>e nesta política anual de investimentos</w:t>
      </w:r>
      <w:r w:rsidRPr="00E8601E">
        <w:rPr>
          <w:rFonts w:ascii="Tahoma" w:hAnsi="Tahoma" w:cs="Tahoma"/>
          <w:sz w:val="20"/>
        </w:rPr>
        <w:t>, observando o limite máximo</w:t>
      </w:r>
      <w:r w:rsidR="006413A4" w:rsidRPr="00E8601E">
        <w:rPr>
          <w:rFonts w:ascii="Tahoma" w:hAnsi="Tahoma" w:cs="Tahoma"/>
          <w:sz w:val="20"/>
        </w:rPr>
        <w:t xml:space="preserve">legal </w:t>
      </w:r>
      <w:r w:rsidR="007D4C34" w:rsidRPr="00E8601E">
        <w:rPr>
          <w:rFonts w:ascii="Tahoma" w:hAnsi="Tahoma" w:cs="Tahoma"/>
          <w:sz w:val="20"/>
        </w:rPr>
        <w:t>de 30% do total dos recursos</w:t>
      </w:r>
      <w:r w:rsidRPr="00E8601E">
        <w:rPr>
          <w:rFonts w:ascii="Tahoma" w:hAnsi="Tahoma" w:cs="Tahoma"/>
          <w:sz w:val="20"/>
        </w:rPr>
        <w:t>.</w:t>
      </w:r>
    </w:p>
    <w:p w:rsidR="00B51440" w:rsidRDefault="00B51440" w:rsidP="00FC345B">
      <w:pPr>
        <w:spacing w:after="120"/>
        <w:jc w:val="both"/>
        <w:rPr>
          <w:rFonts w:ascii="Tahoma" w:hAnsi="Tahoma" w:cs="Tahoma"/>
          <w:i/>
          <w:sz w:val="20"/>
        </w:rPr>
      </w:pPr>
    </w:p>
    <w:p w:rsidR="00294DFF" w:rsidRDefault="00294DFF" w:rsidP="00FC345B">
      <w:pPr>
        <w:spacing w:after="120"/>
        <w:jc w:val="both"/>
        <w:rPr>
          <w:rFonts w:ascii="Tahoma" w:hAnsi="Tahoma" w:cs="Tahoma"/>
          <w:i/>
          <w:sz w:val="20"/>
        </w:rPr>
      </w:pPr>
    </w:p>
    <w:p w:rsidR="00294DFF" w:rsidRDefault="00294DFF" w:rsidP="00FC345B">
      <w:pPr>
        <w:spacing w:after="120"/>
        <w:jc w:val="both"/>
        <w:rPr>
          <w:rFonts w:ascii="Tahoma" w:hAnsi="Tahoma" w:cs="Tahoma"/>
          <w:i/>
          <w:sz w:val="20"/>
        </w:rPr>
      </w:pPr>
    </w:p>
    <w:p w:rsidR="00294DFF" w:rsidRPr="00E8601E" w:rsidRDefault="00294DFF" w:rsidP="00FC345B">
      <w:pPr>
        <w:spacing w:after="120"/>
        <w:jc w:val="both"/>
        <w:rPr>
          <w:rFonts w:ascii="Tahoma" w:hAnsi="Tahoma" w:cs="Tahoma"/>
          <w:i/>
          <w:sz w:val="20"/>
        </w:rPr>
      </w:pPr>
    </w:p>
    <w:p w:rsidR="005B782C" w:rsidRPr="00E8601E" w:rsidRDefault="005B782C" w:rsidP="00FC345B">
      <w:pPr>
        <w:spacing w:after="120"/>
        <w:jc w:val="both"/>
        <w:rPr>
          <w:rFonts w:ascii="Tahoma" w:hAnsi="Tahoma" w:cs="Tahoma"/>
          <w:i/>
          <w:sz w:val="20"/>
        </w:rPr>
      </w:pPr>
      <w:r w:rsidRPr="00E8601E">
        <w:rPr>
          <w:rFonts w:ascii="Tahoma" w:hAnsi="Tahoma" w:cs="Tahoma"/>
          <w:i/>
          <w:sz w:val="20"/>
        </w:rPr>
        <w:t>Segmento de Imóveis</w:t>
      </w:r>
    </w:p>
    <w:p w:rsidR="005B782C" w:rsidRPr="00E8601E" w:rsidRDefault="005B782C" w:rsidP="00C27CE8">
      <w:pPr>
        <w:spacing w:after="120"/>
        <w:jc w:val="both"/>
        <w:rPr>
          <w:rFonts w:ascii="Tahoma" w:hAnsi="Tahoma" w:cs="Tahoma"/>
          <w:sz w:val="20"/>
        </w:rPr>
      </w:pPr>
      <w:r w:rsidRPr="00E8601E">
        <w:rPr>
          <w:rFonts w:ascii="Tahoma" w:hAnsi="Tahoma" w:cs="Tahoma"/>
          <w:sz w:val="20"/>
        </w:rPr>
        <w:t xml:space="preserve">O </w:t>
      </w:r>
      <w:r w:rsidR="0023730B" w:rsidRPr="0023730B">
        <w:rPr>
          <w:rFonts w:ascii="Tahoma" w:hAnsi="Tahoma" w:cs="Tahoma"/>
          <w:b/>
          <w:sz w:val="20"/>
        </w:rPr>
        <w:t>FUNDO DE PREVIDÊNCIA SOCIAL DO SERVIDOR – FPSS DE RIO DOS ÍNDIOS</w:t>
      </w:r>
      <w:r w:rsidR="00B51440" w:rsidRPr="00344EA0">
        <w:rPr>
          <w:rFonts w:ascii="Tahoma" w:hAnsi="Tahoma" w:cs="Tahoma"/>
          <w:sz w:val="20"/>
        </w:rPr>
        <w:t>soment</w:t>
      </w:r>
      <w:r w:rsidR="00B51440" w:rsidRPr="00E8601E">
        <w:rPr>
          <w:rFonts w:ascii="Tahoma" w:hAnsi="Tahoma" w:cs="Tahoma"/>
          <w:sz w:val="20"/>
        </w:rPr>
        <w:t>e</w:t>
      </w:r>
      <w:r w:rsidRPr="00E8601E">
        <w:rPr>
          <w:rFonts w:ascii="Tahoma" w:hAnsi="Tahoma" w:cs="Tahoma"/>
          <w:sz w:val="20"/>
        </w:rPr>
        <w:t xml:space="preserve"> realizará aplicação no segmento de imóveis</w:t>
      </w:r>
      <w:r w:rsidR="00AE2F86" w:rsidRPr="00E8601E">
        <w:rPr>
          <w:rFonts w:ascii="Tahoma" w:hAnsi="Tahoma" w:cs="Tahoma"/>
          <w:sz w:val="20"/>
        </w:rPr>
        <w:t xml:space="preserve"> no exercício de referência</w:t>
      </w:r>
      <w:r w:rsidR="00B51440" w:rsidRPr="00E8601E">
        <w:rPr>
          <w:rFonts w:ascii="Tahoma" w:hAnsi="Tahoma" w:cs="Tahoma"/>
          <w:sz w:val="20"/>
        </w:rPr>
        <w:t xml:space="preserve"> conforme abaixo:</w:t>
      </w:r>
    </w:p>
    <w:p w:rsidR="00B51440" w:rsidRPr="00E8601E" w:rsidRDefault="00B51440" w:rsidP="00C27CE8">
      <w:pPr>
        <w:pStyle w:val="PargrafodaLista"/>
        <w:numPr>
          <w:ilvl w:val="0"/>
          <w:numId w:val="4"/>
        </w:numPr>
        <w:spacing w:after="120"/>
        <w:jc w:val="both"/>
        <w:rPr>
          <w:rFonts w:ascii="Tahoma" w:hAnsi="Tahoma" w:cs="Tahoma"/>
          <w:sz w:val="20"/>
        </w:rPr>
      </w:pPr>
      <w:r w:rsidRPr="00E8601E">
        <w:rPr>
          <w:rFonts w:ascii="Tahoma" w:hAnsi="Tahoma" w:cs="Tahoma"/>
          <w:sz w:val="20"/>
        </w:rPr>
        <w:t>Exclusivamente com terrenos ou outros imóveis vinculados por Lei ao Regime Próprio de Previdência Social;</w:t>
      </w:r>
    </w:p>
    <w:p w:rsidR="00B51440" w:rsidRPr="00E8601E" w:rsidRDefault="00B51440" w:rsidP="00C27CE8">
      <w:pPr>
        <w:pStyle w:val="PargrafodaLista"/>
        <w:numPr>
          <w:ilvl w:val="0"/>
          <w:numId w:val="4"/>
        </w:numPr>
        <w:spacing w:after="120"/>
        <w:jc w:val="both"/>
        <w:rPr>
          <w:rFonts w:ascii="Tahoma" w:hAnsi="Tahoma" w:cs="Tahoma"/>
          <w:sz w:val="20"/>
        </w:rPr>
      </w:pPr>
      <w:r w:rsidRPr="00E8601E">
        <w:rPr>
          <w:rFonts w:ascii="Tahoma" w:hAnsi="Tahoma" w:cs="Tahoma"/>
          <w:sz w:val="20"/>
        </w:rPr>
        <w:t>Os imóveis repassados pelo Município deverão estar devidamente registrados em Cartório de Imóveis e possuir Certidões Negativas de IPTU e vinculados ao RPPS;</w:t>
      </w:r>
    </w:p>
    <w:p w:rsidR="00B51440" w:rsidRPr="00E8601E" w:rsidRDefault="00B51440" w:rsidP="00C27CE8">
      <w:pPr>
        <w:pStyle w:val="PargrafodaLista"/>
        <w:numPr>
          <w:ilvl w:val="0"/>
          <w:numId w:val="4"/>
        </w:numPr>
        <w:spacing w:after="120"/>
        <w:jc w:val="both"/>
        <w:rPr>
          <w:rFonts w:ascii="Tahoma" w:hAnsi="Tahoma" w:cs="Tahoma"/>
          <w:sz w:val="20"/>
        </w:rPr>
      </w:pPr>
      <w:r w:rsidRPr="00E8601E">
        <w:rPr>
          <w:rFonts w:ascii="Tahoma" w:hAnsi="Tahoma" w:cs="Tahoma"/>
          <w:sz w:val="20"/>
        </w:rPr>
        <w:t xml:space="preserve">Ressaltamos que deverá ser </w:t>
      </w:r>
      <w:r w:rsidR="00592455" w:rsidRPr="00E8601E">
        <w:rPr>
          <w:rFonts w:ascii="Tahoma" w:hAnsi="Tahoma" w:cs="Tahoma"/>
          <w:sz w:val="20"/>
        </w:rPr>
        <w:t>observado</w:t>
      </w:r>
      <w:r w:rsidRPr="00E8601E">
        <w:rPr>
          <w:rFonts w:ascii="Tahoma" w:hAnsi="Tahoma" w:cs="Tahoma"/>
          <w:sz w:val="20"/>
        </w:rPr>
        <w:t xml:space="preserve"> também critérios de Rentabilidade, Liquidez e Segurança</w:t>
      </w:r>
      <w:r w:rsidR="008C7ADC" w:rsidRPr="00E8601E">
        <w:rPr>
          <w:rFonts w:ascii="Tahoma" w:hAnsi="Tahoma" w:cs="Tahoma"/>
          <w:sz w:val="20"/>
        </w:rPr>
        <w:t>.</w:t>
      </w:r>
    </w:p>
    <w:p w:rsidR="00E75DEA" w:rsidRPr="00E8601E" w:rsidRDefault="00B51440" w:rsidP="00FC345B">
      <w:pPr>
        <w:spacing w:after="120"/>
        <w:jc w:val="both"/>
        <w:rPr>
          <w:rFonts w:ascii="Tahoma" w:hAnsi="Tahoma" w:cs="Tahoma"/>
          <w:sz w:val="20"/>
        </w:rPr>
      </w:pPr>
      <w:r w:rsidRPr="00E8601E">
        <w:rPr>
          <w:rFonts w:ascii="Tahoma" w:hAnsi="Tahoma" w:cs="Tahoma"/>
          <w:sz w:val="20"/>
        </w:rPr>
        <w:t>As aplicações de que trata este artigo não compõem os limites de aplicação em moeda corrente previsto</w:t>
      </w:r>
      <w:r w:rsidR="00F01B21" w:rsidRPr="00E8601E">
        <w:rPr>
          <w:rFonts w:ascii="Tahoma" w:hAnsi="Tahoma" w:cs="Tahoma"/>
          <w:sz w:val="20"/>
        </w:rPr>
        <w:t>s</w:t>
      </w:r>
      <w:r w:rsidRPr="00E8601E">
        <w:rPr>
          <w:rFonts w:ascii="Tahoma" w:hAnsi="Tahoma" w:cs="Tahoma"/>
          <w:sz w:val="20"/>
        </w:rPr>
        <w:t xml:space="preserve"> na Resolução </w:t>
      </w:r>
      <w:r w:rsidR="004A2FAB" w:rsidRPr="0093685B">
        <w:rPr>
          <w:rFonts w:ascii="Tahoma" w:hAnsi="Tahoma" w:cs="Tahoma"/>
          <w:sz w:val="20"/>
        </w:rPr>
        <w:t>CMN 3.922/2010 e com as alterações descritas na resolução 4.604/2017</w:t>
      </w:r>
      <w:r w:rsidRPr="00E8601E">
        <w:rPr>
          <w:rFonts w:ascii="Tahoma" w:hAnsi="Tahoma" w:cs="Tahoma"/>
          <w:sz w:val="20"/>
        </w:rPr>
        <w:t>.</w:t>
      </w:r>
    </w:p>
    <w:p w:rsidR="00B51440" w:rsidRPr="00E8601E" w:rsidRDefault="00B51440" w:rsidP="00FC345B">
      <w:pPr>
        <w:spacing w:after="120"/>
        <w:jc w:val="both"/>
        <w:rPr>
          <w:rFonts w:ascii="Tahoma" w:hAnsi="Tahoma" w:cs="Tahoma"/>
          <w:sz w:val="20"/>
        </w:rPr>
      </w:pPr>
    </w:p>
    <w:p w:rsidR="005B782C" w:rsidRPr="00E8601E" w:rsidRDefault="00492B7D" w:rsidP="00FC345B">
      <w:pPr>
        <w:spacing w:after="120"/>
        <w:jc w:val="both"/>
        <w:outlineLvl w:val="2"/>
        <w:rPr>
          <w:rStyle w:val="nfaseSutil"/>
          <w:sz w:val="20"/>
        </w:rPr>
      </w:pPr>
      <w:bookmarkStart w:id="55" w:name="_Toc436036999"/>
      <w:bookmarkStart w:id="56" w:name="_Toc496874720"/>
      <w:r w:rsidRPr="00E8601E">
        <w:rPr>
          <w:rStyle w:val="nfaseSutil"/>
          <w:sz w:val="20"/>
        </w:rPr>
        <w:t>Dos Limites Gerais</w:t>
      </w:r>
      <w:bookmarkEnd w:id="55"/>
      <w:bookmarkEnd w:id="56"/>
    </w:p>
    <w:p w:rsidR="005B782C" w:rsidRPr="00E8601E" w:rsidRDefault="005B782C" w:rsidP="00FC345B">
      <w:pPr>
        <w:spacing w:after="120"/>
        <w:jc w:val="both"/>
        <w:rPr>
          <w:rFonts w:ascii="Tahoma" w:hAnsi="Tahoma" w:cs="Tahoma"/>
          <w:sz w:val="20"/>
        </w:rPr>
      </w:pPr>
      <w:r w:rsidRPr="00E8601E">
        <w:rPr>
          <w:rFonts w:ascii="Tahoma" w:hAnsi="Tahoma" w:cs="Tahoma"/>
          <w:sz w:val="20"/>
        </w:rPr>
        <w:t>Para os incisos: III, IV e VII, “b”, do Artigo 7º, as aplicações em títulos ou valores mobiliários de emissão de uma mesma pessoa jurídica, de sua controladora, de entidade por ela direta ou indiretamente controlada e de coligada ou quaisquer outras sociedades sob controle comum, não podem exceder 20% do patrimônio do veículo de investimento.</w:t>
      </w:r>
      <w:r w:rsidR="0063058C" w:rsidRPr="00E8601E">
        <w:rPr>
          <w:rFonts w:ascii="Tahoma" w:hAnsi="Tahoma" w:cs="Tahoma"/>
          <w:sz w:val="20"/>
        </w:rPr>
        <w:t xml:space="preserve"> As aplicações previstas nos incisos III e IV e na alínea "b" do inciso VII subordinam-se a que o regulamento do fundo </w:t>
      </w:r>
      <w:r w:rsidR="00F35E46" w:rsidRPr="00E8601E">
        <w:rPr>
          <w:rFonts w:ascii="Tahoma" w:hAnsi="Tahoma" w:cs="Tahoma"/>
          <w:sz w:val="20"/>
        </w:rPr>
        <w:t>determine esta restrição.</w:t>
      </w:r>
    </w:p>
    <w:p w:rsidR="005B782C" w:rsidRPr="00344EA0" w:rsidRDefault="005B782C" w:rsidP="00FC345B">
      <w:pPr>
        <w:spacing w:after="120"/>
        <w:jc w:val="both"/>
        <w:rPr>
          <w:rFonts w:ascii="Tahoma" w:hAnsi="Tahoma" w:cs="Tahoma"/>
          <w:sz w:val="20"/>
        </w:rPr>
      </w:pPr>
      <w:r w:rsidRPr="00E8601E">
        <w:rPr>
          <w:rFonts w:ascii="Tahoma" w:hAnsi="Tahoma" w:cs="Tahoma"/>
          <w:sz w:val="20"/>
        </w:rPr>
        <w:t>As aplicações em cotas de um mesmo fundo de investimento ou fundo de investimento em cotas de fundos de investimento a que se referem o art. 7º, incis</w:t>
      </w:r>
      <w:r w:rsidR="00831E3E" w:rsidRPr="00E8601E">
        <w:rPr>
          <w:rFonts w:ascii="Tahoma" w:hAnsi="Tahoma" w:cs="Tahoma"/>
          <w:sz w:val="20"/>
        </w:rPr>
        <w:t xml:space="preserve">os III e IV, e art. 8º, inciso </w:t>
      </w:r>
      <w:r w:rsidRPr="00E8601E">
        <w:rPr>
          <w:rFonts w:ascii="Tahoma" w:hAnsi="Tahoma" w:cs="Tahoma"/>
          <w:sz w:val="20"/>
        </w:rPr>
        <w:t xml:space="preserve">I, não podem exceder 20% das aplicações dos recursos do </w:t>
      </w:r>
      <w:r w:rsidR="0063058C" w:rsidRPr="00E8601E">
        <w:rPr>
          <w:rFonts w:ascii="Tahoma" w:hAnsi="Tahoma" w:cs="Tahoma"/>
          <w:sz w:val="20"/>
        </w:rPr>
        <w:t xml:space="preserve">regime próprio de previdência social </w:t>
      </w:r>
      <w:r w:rsidR="0063058C" w:rsidRPr="00344EA0">
        <w:rPr>
          <w:rFonts w:ascii="Tahoma" w:hAnsi="Tahoma" w:cs="Tahoma"/>
          <w:sz w:val="20"/>
        </w:rPr>
        <w:t xml:space="preserve">do </w:t>
      </w:r>
      <w:r w:rsidR="00C27CE8" w:rsidRPr="00344EA0">
        <w:rPr>
          <w:rFonts w:ascii="Tahoma" w:hAnsi="Tahoma" w:cs="Tahoma"/>
          <w:b/>
          <w:sz w:val="20"/>
        </w:rPr>
        <w:t xml:space="preserve">MUNICÍPIO DE </w:t>
      </w:r>
      <w:r w:rsidR="00C27CE8" w:rsidRPr="009A5912">
        <w:rPr>
          <w:rFonts w:ascii="Tahoma" w:hAnsi="Tahoma" w:cs="Tahoma"/>
          <w:b/>
          <w:sz w:val="20"/>
        </w:rPr>
        <w:t>RIO DOS ÍNDIOS</w:t>
      </w:r>
      <w:r w:rsidR="001054E9" w:rsidRPr="00C27CE8">
        <w:rPr>
          <w:rFonts w:ascii="Tahoma" w:hAnsi="Tahoma" w:cs="Tahoma"/>
          <w:sz w:val="20"/>
        </w:rPr>
        <w:t>.</w:t>
      </w:r>
      <w:r w:rsidRPr="00344EA0">
        <w:rPr>
          <w:rFonts w:ascii="Tahoma" w:hAnsi="Tahoma" w:cs="Tahoma"/>
          <w:sz w:val="20"/>
        </w:rPr>
        <w:t xml:space="preserve">O total das aplicações dos recursos do </w:t>
      </w:r>
      <w:r w:rsidR="00F35E46" w:rsidRPr="00344EA0">
        <w:rPr>
          <w:rFonts w:ascii="Tahoma" w:hAnsi="Tahoma" w:cs="Tahoma"/>
          <w:sz w:val="20"/>
        </w:rPr>
        <w:t xml:space="preserve">respectivo </w:t>
      </w:r>
      <w:r w:rsidRPr="00344EA0">
        <w:rPr>
          <w:rFonts w:ascii="Tahoma" w:hAnsi="Tahoma" w:cs="Tahoma"/>
          <w:sz w:val="20"/>
        </w:rPr>
        <w:t>regime próprio de previdência social em um mesmo</w:t>
      </w:r>
      <w:r w:rsidR="00831E3E" w:rsidRPr="00344EA0">
        <w:rPr>
          <w:rFonts w:ascii="Tahoma" w:hAnsi="Tahoma" w:cs="Tahoma"/>
          <w:sz w:val="20"/>
        </w:rPr>
        <w:t xml:space="preserve"> fundo </w:t>
      </w:r>
      <w:r w:rsidR="00592455" w:rsidRPr="00344EA0">
        <w:rPr>
          <w:rFonts w:ascii="Tahoma" w:hAnsi="Tahoma" w:cs="Tahoma"/>
          <w:sz w:val="20"/>
        </w:rPr>
        <w:t>de investimento</w:t>
      </w:r>
      <w:r w:rsidR="00831E3E" w:rsidRPr="00344EA0">
        <w:rPr>
          <w:rFonts w:ascii="Tahoma" w:hAnsi="Tahoma" w:cs="Tahoma"/>
          <w:sz w:val="20"/>
        </w:rPr>
        <w:t xml:space="preserve"> deverá representar,</w:t>
      </w:r>
      <w:r w:rsidR="004A2FAB" w:rsidRPr="00344EA0">
        <w:rPr>
          <w:rFonts w:ascii="Tahoma" w:hAnsi="Tahoma" w:cs="Tahoma"/>
          <w:sz w:val="20"/>
        </w:rPr>
        <w:t xml:space="preserve"> no máximo, 15</w:t>
      </w:r>
      <w:r w:rsidRPr="00344EA0">
        <w:rPr>
          <w:rFonts w:ascii="Tahoma" w:hAnsi="Tahoma" w:cs="Tahoma"/>
          <w:sz w:val="20"/>
        </w:rPr>
        <w:t>% do patrimônio líquido do fundo.</w:t>
      </w:r>
    </w:p>
    <w:p w:rsidR="005B782C" w:rsidRPr="00E8601E" w:rsidRDefault="005B782C" w:rsidP="00FC345B">
      <w:pPr>
        <w:spacing w:after="120"/>
        <w:jc w:val="both"/>
        <w:rPr>
          <w:rFonts w:ascii="Tahoma" w:hAnsi="Tahoma" w:cs="Tahoma"/>
          <w:sz w:val="20"/>
        </w:rPr>
      </w:pPr>
      <w:r w:rsidRPr="00344EA0">
        <w:rPr>
          <w:rFonts w:ascii="Tahoma" w:hAnsi="Tahoma" w:cs="Tahoma"/>
          <w:sz w:val="20"/>
        </w:rPr>
        <w:t>A totalidade das aplicações prevista</w:t>
      </w:r>
      <w:r w:rsidR="009C00C5" w:rsidRPr="00344EA0">
        <w:rPr>
          <w:rFonts w:ascii="Tahoma" w:hAnsi="Tahoma" w:cs="Tahoma"/>
          <w:sz w:val="20"/>
        </w:rPr>
        <w:t>s nos incisos VI e VII do art.</w:t>
      </w:r>
      <w:r w:rsidRPr="00344EA0">
        <w:rPr>
          <w:rFonts w:ascii="Tahoma" w:hAnsi="Tahoma" w:cs="Tahoma"/>
          <w:sz w:val="20"/>
        </w:rPr>
        <w:t xml:space="preserve"> 7º não dever</w:t>
      </w:r>
      <w:r w:rsidR="00F35E46" w:rsidRPr="00344EA0">
        <w:rPr>
          <w:rFonts w:ascii="Tahoma" w:hAnsi="Tahoma" w:cs="Tahoma"/>
          <w:sz w:val="20"/>
        </w:rPr>
        <w:t>á</w:t>
      </w:r>
      <w:r w:rsidRPr="00344EA0">
        <w:rPr>
          <w:rFonts w:ascii="Tahoma" w:hAnsi="Tahoma" w:cs="Tahoma"/>
          <w:sz w:val="20"/>
        </w:rPr>
        <w:t xml:space="preserve"> exceder o limite de 15%</w:t>
      </w:r>
      <w:r w:rsidR="00F35E46" w:rsidRPr="00344EA0">
        <w:rPr>
          <w:rFonts w:ascii="Tahoma" w:hAnsi="Tahoma" w:cs="Tahoma"/>
          <w:sz w:val="20"/>
        </w:rPr>
        <w:t xml:space="preserve"> dos recursos do RPPS correspondente. </w:t>
      </w:r>
      <w:r w:rsidRPr="00344EA0">
        <w:rPr>
          <w:rFonts w:ascii="Tahoma" w:hAnsi="Tahoma" w:cs="Tahoma"/>
          <w:sz w:val="20"/>
        </w:rPr>
        <w:t>A</w:t>
      </w:r>
      <w:r w:rsidR="009C00C5" w:rsidRPr="00344EA0">
        <w:rPr>
          <w:rFonts w:ascii="Tahoma" w:hAnsi="Tahoma" w:cs="Tahoma"/>
          <w:sz w:val="20"/>
        </w:rPr>
        <w:t>s aplicações previstas no art.</w:t>
      </w:r>
      <w:r w:rsidRPr="00344EA0">
        <w:rPr>
          <w:rFonts w:ascii="Tahoma" w:hAnsi="Tahoma" w:cs="Tahoma"/>
          <w:sz w:val="20"/>
        </w:rPr>
        <w:t xml:space="preserve"> 8º,cu</w:t>
      </w:r>
      <w:r w:rsidR="004A2FAB" w:rsidRPr="00344EA0">
        <w:rPr>
          <w:rFonts w:ascii="Tahoma" w:hAnsi="Tahoma" w:cs="Tahoma"/>
          <w:sz w:val="20"/>
        </w:rPr>
        <w:t>mulativamente, limitar-se-ão a 4</w:t>
      </w:r>
      <w:r w:rsidRPr="00344EA0">
        <w:rPr>
          <w:rFonts w:ascii="Tahoma" w:hAnsi="Tahoma" w:cs="Tahoma"/>
          <w:sz w:val="20"/>
        </w:rPr>
        <w:t xml:space="preserve">0% da totalidade das aplicações dos recursos </w:t>
      </w:r>
      <w:r w:rsidR="00F35E46" w:rsidRPr="00344EA0">
        <w:rPr>
          <w:rFonts w:ascii="Tahoma" w:hAnsi="Tahoma" w:cs="Tahoma"/>
          <w:sz w:val="20"/>
        </w:rPr>
        <w:t xml:space="preserve">do </w:t>
      </w:r>
      <w:r w:rsidR="0023730B" w:rsidRPr="0023730B">
        <w:rPr>
          <w:rFonts w:ascii="Tahoma" w:hAnsi="Tahoma" w:cs="Tahoma"/>
          <w:b/>
          <w:sz w:val="20"/>
        </w:rPr>
        <w:t>FUNDO DE PREVIDÊNCIA SOCIAL DO SERVIDOR – FPSS DE RIO DOS ÍNDIOS</w:t>
      </w:r>
      <w:r w:rsidRPr="00344EA0">
        <w:rPr>
          <w:rFonts w:ascii="Tahoma" w:hAnsi="Tahoma" w:cs="Tahoma"/>
          <w:sz w:val="20"/>
        </w:rPr>
        <w:t>e aos limites de concentração por emissor</w:t>
      </w:r>
      <w:r w:rsidR="009C00C5" w:rsidRPr="00344EA0">
        <w:rPr>
          <w:rFonts w:ascii="Tahoma" w:hAnsi="Tahoma" w:cs="Tahoma"/>
          <w:sz w:val="20"/>
        </w:rPr>
        <w:t>,</w:t>
      </w:r>
      <w:r w:rsidRPr="00344EA0">
        <w:rPr>
          <w:rFonts w:ascii="Tahoma" w:hAnsi="Tahoma" w:cs="Tahoma"/>
          <w:sz w:val="20"/>
        </w:rPr>
        <w:t xml:space="preserve"> conforme regulamentação editada pela Comissão de Valores Mobiliários.</w:t>
      </w:r>
    </w:p>
    <w:p w:rsidR="00B51440" w:rsidRPr="00E8601E" w:rsidRDefault="00B51440" w:rsidP="00FC345B">
      <w:pPr>
        <w:spacing w:after="120"/>
        <w:jc w:val="both"/>
        <w:outlineLvl w:val="2"/>
        <w:rPr>
          <w:rFonts w:ascii="Tahoma" w:hAnsi="Tahoma" w:cs="Tahoma"/>
          <w:sz w:val="20"/>
        </w:rPr>
      </w:pPr>
    </w:p>
    <w:p w:rsidR="005B782C" w:rsidRPr="00E8601E" w:rsidRDefault="00492B7D" w:rsidP="00FC345B">
      <w:pPr>
        <w:spacing w:after="120"/>
        <w:jc w:val="both"/>
        <w:outlineLvl w:val="2"/>
        <w:rPr>
          <w:rStyle w:val="nfaseSutil"/>
          <w:sz w:val="20"/>
        </w:rPr>
      </w:pPr>
      <w:bookmarkStart w:id="57" w:name="_Toc436037000"/>
      <w:bookmarkStart w:id="58" w:name="_Toc496874721"/>
      <w:r w:rsidRPr="00E8601E">
        <w:rPr>
          <w:rStyle w:val="nfaseSutil"/>
          <w:sz w:val="20"/>
        </w:rPr>
        <w:t>Da Avaliação de Desempenho das Aplicações</w:t>
      </w:r>
      <w:bookmarkEnd w:id="57"/>
      <w:bookmarkEnd w:id="58"/>
    </w:p>
    <w:p w:rsidR="005B782C" w:rsidRPr="00E8601E" w:rsidRDefault="005B782C" w:rsidP="00FC345B">
      <w:pPr>
        <w:spacing w:after="120"/>
        <w:jc w:val="both"/>
        <w:rPr>
          <w:rFonts w:ascii="Tahoma" w:hAnsi="Tahoma" w:cs="Tahoma"/>
          <w:sz w:val="20"/>
        </w:rPr>
      </w:pPr>
      <w:r w:rsidRPr="00E8601E">
        <w:rPr>
          <w:rFonts w:ascii="Tahoma" w:hAnsi="Tahoma" w:cs="Tahoma"/>
          <w:sz w:val="20"/>
        </w:rPr>
        <w:t xml:space="preserve">As aplicações serão </w:t>
      </w:r>
      <w:r w:rsidR="009C00C5" w:rsidRPr="00E8601E">
        <w:rPr>
          <w:rFonts w:ascii="Tahoma" w:hAnsi="Tahoma" w:cs="Tahoma"/>
          <w:sz w:val="20"/>
        </w:rPr>
        <w:t>avaliadas</w:t>
      </w:r>
      <w:r w:rsidRPr="00E8601E">
        <w:rPr>
          <w:rFonts w:ascii="Tahoma" w:hAnsi="Tahoma" w:cs="Tahoma"/>
          <w:sz w:val="20"/>
        </w:rPr>
        <w:t xml:space="preserve"> através da elaboração de relatórios mensais, mas acompanhadas pelo gestor diariamente. Mensalmente, elaborar-se-á o relatório de avaliação de desempenho, adotando medidas cabíveis no caso de constatação de desempenho insatisfatório, segundo os objetivos e estratégias da gestão e exposição a riscos acentuados diante de cenários de conjuntura adversa. </w:t>
      </w:r>
    </w:p>
    <w:p w:rsidR="005B782C" w:rsidRPr="00E8601E" w:rsidRDefault="005B782C" w:rsidP="00FC345B">
      <w:pPr>
        <w:spacing w:after="120"/>
        <w:jc w:val="both"/>
        <w:rPr>
          <w:rFonts w:ascii="Tahoma" w:hAnsi="Tahoma" w:cs="Tahoma"/>
          <w:sz w:val="20"/>
        </w:rPr>
      </w:pPr>
      <w:r w:rsidRPr="00E8601E">
        <w:rPr>
          <w:rFonts w:ascii="Tahoma" w:hAnsi="Tahoma" w:cs="Tahoma"/>
          <w:sz w:val="20"/>
        </w:rPr>
        <w:lastRenderedPageBreak/>
        <w:t>Os relatórios de desempenho compreenderão a comparação com os principais índices de mercado, sendo eles: para a renda fixa</w:t>
      </w:r>
      <w:r w:rsidR="009C00C5" w:rsidRPr="00E8601E">
        <w:rPr>
          <w:rFonts w:ascii="Tahoma" w:hAnsi="Tahoma" w:cs="Tahoma"/>
          <w:sz w:val="20"/>
        </w:rPr>
        <w:t>,</w:t>
      </w:r>
      <w:r w:rsidRPr="00E8601E">
        <w:rPr>
          <w:rFonts w:ascii="Tahoma" w:hAnsi="Tahoma" w:cs="Tahoma"/>
          <w:sz w:val="20"/>
        </w:rPr>
        <w:t xml:space="preserve"> o</w:t>
      </w:r>
      <w:r w:rsidR="00F200DD" w:rsidRPr="00E8601E">
        <w:rPr>
          <w:rFonts w:ascii="Tahoma" w:hAnsi="Tahoma" w:cs="Tahoma"/>
          <w:sz w:val="20"/>
        </w:rPr>
        <w:t xml:space="preserve">s Índices </w:t>
      </w:r>
      <w:r w:rsidRPr="00E8601E">
        <w:rPr>
          <w:rFonts w:ascii="Tahoma" w:hAnsi="Tahoma" w:cs="Tahoma"/>
          <w:sz w:val="20"/>
        </w:rPr>
        <w:t>IMA e</w:t>
      </w:r>
      <w:r w:rsidR="009C00C5" w:rsidRPr="00E8601E">
        <w:rPr>
          <w:rFonts w:ascii="Tahoma" w:hAnsi="Tahoma" w:cs="Tahoma"/>
          <w:sz w:val="20"/>
        </w:rPr>
        <w:t>,</w:t>
      </w:r>
      <w:r w:rsidRPr="00E8601E">
        <w:rPr>
          <w:rFonts w:ascii="Tahoma" w:hAnsi="Tahoma" w:cs="Tahoma"/>
          <w:sz w:val="20"/>
        </w:rPr>
        <w:t xml:space="preserve"> para a renda variável</w:t>
      </w:r>
      <w:r w:rsidR="009C00C5" w:rsidRPr="00E8601E">
        <w:rPr>
          <w:rFonts w:ascii="Tahoma" w:hAnsi="Tahoma" w:cs="Tahoma"/>
          <w:sz w:val="20"/>
        </w:rPr>
        <w:t>,</w:t>
      </w:r>
      <w:r w:rsidRPr="00E8601E">
        <w:rPr>
          <w:rFonts w:ascii="Tahoma" w:hAnsi="Tahoma" w:cs="Tahoma"/>
          <w:sz w:val="20"/>
        </w:rPr>
        <w:t xml:space="preserve"> o Ibovespa, IBrX e o IBrX-50. </w:t>
      </w:r>
      <w:r w:rsidR="00F200DD" w:rsidRPr="00E8601E">
        <w:rPr>
          <w:rFonts w:ascii="Tahoma" w:hAnsi="Tahoma" w:cs="Tahoma"/>
          <w:sz w:val="20"/>
        </w:rPr>
        <w:t>A volatilidade da carteira será controlada periodicamente</w:t>
      </w:r>
      <w:r w:rsidRPr="00E8601E">
        <w:rPr>
          <w:rFonts w:ascii="Tahoma" w:hAnsi="Tahoma" w:cs="Tahoma"/>
          <w:sz w:val="20"/>
        </w:rPr>
        <w:t xml:space="preserve">. Para o monitoramento do risco de mercado, </w:t>
      </w:r>
      <w:r w:rsidR="00F200DD" w:rsidRPr="00E8601E">
        <w:rPr>
          <w:rFonts w:ascii="Tahoma" w:hAnsi="Tahoma" w:cs="Tahoma"/>
          <w:sz w:val="20"/>
        </w:rPr>
        <w:t>utilizar-se-á</w:t>
      </w:r>
      <w:r w:rsidRPr="00E8601E">
        <w:rPr>
          <w:rFonts w:ascii="Tahoma" w:hAnsi="Tahoma" w:cs="Tahoma"/>
          <w:sz w:val="20"/>
        </w:rPr>
        <w:t xml:space="preserve"> o cálculo do Valueat Risk (VAR), com um grau de confiança de 95%, que sintetiza a maior perda esperada da carteira, em condições normais de mercado.</w:t>
      </w:r>
    </w:p>
    <w:p w:rsidR="005B782C" w:rsidRPr="00E8601E" w:rsidRDefault="005B782C" w:rsidP="00FC345B">
      <w:pPr>
        <w:spacing w:after="120"/>
        <w:jc w:val="both"/>
        <w:rPr>
          <w:rFonts w:ascii="Tahoma" w:hAnsi="Tahoma" w:cs="Tahoma"/>
          <w:sz w:val="20"/>
        </w:rPr>
      </w:pPr>
      <w:r w:rsidRPr="00E8601E">
        <w:rPr>
          <w:rFonts w:ascii="Tahoma" w:hAnsi="Tahoma" w:cs="Tahoma"/>
          <w:sz w:val="20"/>
        </w:rPr>
        <w:t xml:space="preserve">O </w:t>
      </w:r>
      <w:r w:rsidR="0063031E" w:rsidRPr="00E8601E">
        <w:rPr>
          <w:rFonts w:ascii="Tahoma" w:hAnsi="Tahoma" w:cs="Tahoma"/>
          <w:sz w:val="20"/>
        </w:rPr>
        <w:t xml:space="preserve">RISCO DE CRÉDITO </w:t>
      </w:r>
      <w:r w:rsidRPr="00E8601E">
        <w:rPr>
          <w:rFonts w:ascii="Tahoma" w:hAnsi="Tahoma" w:cs="Tahoma"/>
          <w:sz w:val="20"/>
        </w:rPr>
        <w:t>será controlado através da diversificação da carteira, da observação dos limites de crédito para as emissões privadas, pela consideração de classificação de risco das emissões ou d</w:t>
      </w:r>
      <w:r w:rsidR="00A43E19" w:rsidRPr="00E8601E">
        <w:rPr>
          <w:rFonts w:ascii="Tahoma" w:hAnsi="Tahoma" w:cs="Tahoma"/>
          <w:sz w:val="20"/>
        </w:rPr>
        <w:t>o</w:t>
      </w:r>
      <w:r w:rsidRPr="00E8601E">
        <w:rPr>
          <w:rFonts w:ascii="Tahoma" w:hAnsi="Tahoma" w:cs="Tahoma"/>
          <w:sz w:val="20"/>
        </w:rPr>
        <w:t xml:space="preserve">s emissores realizadas por agências classificadoras de risco e pelo monitoramento da exposição ao risco, através do cumprimento diário da política de investimentos. O </w:t>
      </w:r>
      <w:r w:rsidR="0063031E" w:rsidRPr="00E8601E">
        <w:rPr>
          <w:rFonts w:ascii="Tahoma" w:hAnsi="Tahoma" w:cs="Tahoma"/>
          <w:sz w:val="20"/>
        </w:rPr>
        <w:t>RISCO DE LIQUIDEZ</w:t>
      </w:r>
      <w:r w:rsidRPr="00E8601E">
        <w:rPr>
          <w:rFonts w:ascii="Tahoma" w:hAnsi="Tahoma" w:cs="Tahoma"/>
          <w:sz w:val="20"/>
        </w:rPr>
        <w:t xml:space="preserve"> não é preponderante no curto prazo, porém avaliar-se-</w:t>
      </w:r>
      <w:r w:rsidR="00A43E19" w:rsidRPr="00E8601E">
        <w:rPr>
          <w:rFonts w:ascii="Tahoma" w:hAnsi="Tahoma" w:cs="Tahoma"/>
          <w:sz w:val="20"/>
        </w:rPr>
        <w:t>á</w:t>
      </w:r>
      <w:r w:rsidRPr="00E8601E">
        <w:rPr>
          <w:rFonts w:ascii="Tahoma" w:hAnsi="Tahoma" w:cs="Tahoma"/>
          <w:sz w:val="20"/>
        </w:rPr>
        <w:t xml:space="preserve"> a concentração dos investimentos e a liquidez dos ativos financeiros de acordo com as obrigações futuras.</w:t>
      </w:r>
    </w:p>
    <w:p w:rsidR="005B782C" w:rsidRPr="00E8601E" w:rsidRDefault="005B782C" w:rsidP="00FC345B">
      <w:pPr>
        <w:spacing w:after="120"/>
        <w:jc w:val="both"/>
        <w:rPr>
          <w:rFonts w:ascii="Tahoma" w:hAnsi="Tahoma" w:cs="Tahoma"/>
          <w:sz w:val="20"/>
        </w:rPr>
      </w:pPr>
    </w:p>
    <w:p w:rsidR="005B782C" w:rsidRPr="00E8601E" w:rsidRDefault="0087022E" w:rsidP="00FC345B">
      <w:pPr>
        <w:spacing w:after="120"/>
        <w:jc w:val="both"/>
        <w:outlineLvl w:val="2"/>
        <w:rPr>
          <w:rStyle w:val="nfaseSutil"/>
          <w:sz w:val="20"/>
        </w:rPr>
      </w:pPr>
      <w:bookmarkStart w:id="59" w:name="_Toc436037001"/>
      <w:bookmarkStart w:id="60" w:name="_Toc496874722"/>
      <w:r w:rsidRPr="00E8601E">
        <w:rPr>
          <w:rStyle w:val="nfaseSutil"/>
          <w:sz w:val="20"/>
        </w:rPr>
        <w:t>Dos Riscos de Mercado e Crédito</w:t>
      </w:r>
      <w:bookmarkEnd w:id="59"/>
      <w:bookmarkEnd w:id="60"/>
    </w:p>
    <w:p w:rsidR="00E75DEA" w:rsidRPr="00E8601E" w:rsidRDefault="00E75DEA" w:rsidP="00FC345B">
      <w:pPr>
        <w:spacing w:after="120"/>
        <w:jc w:val="both"/>
        <w:rPr>
          <w:rFonts w:ascii="Tahoma" w:hAnsi="Tahoma" w:cs="Tahoma"/>
          <w:i/>
          <w:sz w:val="20"/>
        </w:rPr>
      </w:pPr>
      <w:r w:rsidRPr="00E8601E">
        <w:rPr>
          <w:rFonts w:ascii="Tahoma" w:hAnsi="Tahoma" w:cs="Tahoma"/>
          <w:i/>
          <w:sz w:val="20"/>
        </w:rPr>
        <w:t>Risco de Mercado</w:t>
      </w:r>
    </w:p>
    <w:p w:rsidR="005B782C" w:rsidRPr="00344EA0" w:rsidRDefault="005B782C" w:rsidP="00FC345B">
      <w:pPr>
        <w:spacing w:after="120"/>
        <w:jc w:val="both"/>
        <w:rPr>
          <w:rFonts w:ascii="Tahoma" w:hAnsi="Tahoma" w:cs="Tahoma"/>
          <w:sz w:val="20"/>
        </w:rPr>
      </w:pPr>
      <w:r w:rsidRPr="00344EA0">
        <w:rPr>
          <w:rFonts w:ascii="Tahoma" w:hAnsi="Tahoma" w:cs="Tahoma"/>
          <w:sz w:val="20"/>
        </w:rPr>
        <w:t xml:space="preserve">O </w:t>
      </w:r>
      <w:r w:rsidR="0023730B" w:rsidRPr="0023730B">
        <w:rPr>
          <w:rFonts w:ascii="Tahoma" w:hAnsi="Tahoma" w:cs="Tahoma"/>
          <w:b/>
          <w:sz w:val="20"/>
        </w:rPr>
        <w:t>FUNDO DE PREVIDÊNCIA SOCIAL DO SERVIDOR – FPSS DE RIO DOS ÍNDIOS</w:t>
      </w:r>
      <w:r w:rsidRPr="00344EA0">
        <w:rPr>
          <w:rFonts w:ascii="Tahoma" w:hAnsi="Tahoma" w:cs="Tahoma"/>
          <w:sz w:val="20"/>
        </w:rPr>
        <w:t>adotará o Value-at-Risk (VaR) para controle do risco de mercado, utilizando os seguintes parâmetros para o cálculo do mesmo: modelo não paramétrico, intervalo de confiança de 95% e horizonte de tempo de 21 dias úteis.Segue abaixo os limites de VaR definidos por segmento:</w:t>
      </w:r>
      <w:r w:rsidR="00A43E19" w:rsidRPr="00344EA0">
        <w:rPr>
          <w:rFonts w:ascii="Tahoma" w:hAnsi="Tahoma" w:cs="Tahoma"/>
          <w:sz w:val="20"/>
        </w:rPr>
        <w:t xml:space="preserve"> s</w:t>
      </w:r>
      <w:r w:rsidRPr="00344EA0">
        <w:rPr>
          <w:rFonts w:ascii="Tahoma" w:hAnsi="Tahoma" w:cs="Tahoma"/>
          <w:sz w:val="20"/>
        </w:rPr>
        <w:t xml:space="preserve">egmento de </w:t>
      </w:r>
      <w:r w:rsidR="00A43E19" w:rsidRPr="00344EA0">
        <w:rPr>
          <w:rFonts w:ascii="Tahoma" w:hAnsi="Tahoma" w:cs="Tahoma"/>
          <w:sz w:val="20"/>
        </w:rPr>
        <w:t>r</w:t>
      </w:r>
      <w:r w:rsidRPr="00344EA0">
        <w:rPr>
          <w:rFonts w:ascii="Tahoma" w:hAnsi="Tahoma" w:cs="Tahoma"/>
          <w:sz w:val="20"/>
        </w:rPr>
        <w:t xml:space="preserve">enda </w:t>
      </w:r>
      <w:r w:rsidR="00A43E19" w:rsidRPr="00344EA0">
        <w:rPr>
          <w:rFonts w:ascii="Tahoma" w:hAnsi="Tahoma" w:cs="Tahoma"/>
          <w:sz w:val="20"/>
        </w:rPr>
        <w:t>f</w:t>
      </w:r>
      <w:r w:rsidRPr="00344EA0">
        <w:rPr>
          <w:rFonts w:ascii="Tahoma" w:hAnsi="Tahoma" w:cs="Tahoma"/>
          <w:sz w:val="20"/>
        </w:rPr>
        <w:t xml:space="preserve">ixa: </w:t>
      </w:r>
      <w:r w:rsidR="009C00C5" w:rsidRPr="00344EA0">
        <w:rPr>
          <w:rFonts w:ascii="Tahoma" w:hAnsi="Tahoma" w:cs="Tahoma"/>
          <w:sz w:val="20"/>
        </w:rPr>
        <w:t>4</w:t>
      </w:r>
      <w:r w:rsidRPr="00344EA0">
        <w:rPr>
          <w:rFonts w:ascii="Tahoma" w:hAnsi="Tahoma" w:cs="Tahoma"/>
          <w:sz w:val="20"/>
        </w:rPr>
        <w:t>,00%;</w:t>
      </w:r>
      <w:r w:rsidR="00A43E19" w:rsidRPr="00344EA0">
        <w:rPr>
          <w:rFonts w:ascii="Tahoma" w:hAnsi="Tahoma" w:cs="Tahoma"/>
          <w:sz w:val="20"/>
        </w:rPr>
        <w:t xml:space="preserve"> s</w:t>
      </w:r>
      <w:r w:rsidRPr="00344EA0">
        <w:rPr>
          <w:rFonts w:ascii="Tahoma" w:hAnsi="Tahoma" w:cs="Tahoma"/>
          <w:sz w:val="20"/>
        </w:rPr>
        <w:t xml:space="preserve">egmento de </w:t>
      </w:r>
      <w:r w:rsidR="00A43E19" w:rsidRPr="00344EA0">
        <w:rPr>
          <w:rFonts w:ascii="Tahoma" w:hAnsi="Tahoma" w:cs="Tahoma"/>
          <w:sz w:val="20"/>
        </w:rPr>
        <w:t>r</w:t>
      </w:r>
      <w:r w:rsidRPr="00344EA0">
        <w:rPr>
          <w:rFonts w:ascii="Tahoma" w:hAnsi="Tahoma" w:cs="Tahoma"/>
          <w:sz w:val="20"/>
        </w:rPr>
        <w:t xml:space="preserve">enda </w:t>
      </w:r>
      <w:r w:rsidR="00A43E19" w:rsidRPr="00344EA0">
        <w:rPr>
          <w:rFonts w:ascii="Tahoma" w:hAnsi="Tahoma" w:cs="Tahoma"/>
          <w:sz w:val="20"/>
        </w:rPr>
        <w:t>v</w:t>
      </w:r>
      <w:r w:rsidRPr="00344EA0">
        <w:rPr>
          <w:rFonts w:ascii="Tahoma" w:hAnsi="Tahoma" w:cs="Tahoma"/>
          <w:sz w:val="20"/>
        </w:rPr>
        <w:t>ariável: 20,00%.</w:t>
      </w:r>
    </w:p>
    <w:p w:rsidR="0063031E" w:rsidRPr="00344EA0" w:rsidRDefault="0063031E" w:rsidP="00FC345B">
      <w:pPr>
        <w:spacing w:after="120"/>
        <w:jc w:val="both"/>
        <w:rPr>
          <w:rFonts w:ascii="Tahoma" w:hAnsi="Tahoma" w:cs="Tahoma"/>
          <w:sz w:val="20"/>
        </w:rPr>
      </w:pPr>
    </w:p>
    <w:p w:rsidR="00E75DEA" w:rsidRPr="00344EA0" w:rsidRDefault="00E75DEA" w:rsidP="00FC345B">
      <w:pPr>
        <w:spacing w:after="120"/>
        <w:jc w:val="both"/>
        <w:rPr>
          <w:rFonts w:ascii="Tahoma" w:hAnsi="Tahoma" w:cs="Tahoma"/>
          <w:i/>
          <w:sz w:val="20"/>
        </w:rPr>
      </w:pPr>
      <w:r w:rsidRPr="00344EA0">
        <w:rPr>
          <w:rFonts w:ascii="Tahoma" w:hAnsi="Tahoma" w:cs="Tahoma"/>
          <w:i/>
          <w:sz w:val="20"/>
        </w:rPr>
        <w:t>Risco de Crédito</w:t>
      </w:r>
    </w:p>
    <w:p w:rsidR="005B782C" w:rsidRPr="00E8601E" w:rsidRDefault="008F7A03" w:rsidP="00FC345B">
      <w:pPr>
        <w:spacing w:after="120"/>
        <w:jc w:val="both"/>
        <w:rPr>
          <w:rFonts w:ascii="Tahoma" w:hAnsi="Tahoma" w:cs="Tahoma"/>
          <w:sz w:val="20"/>
        </w:rPr>
      </w:pPr>
      <w:r w:rsidRPr="00344EA0">
        <w:rPr>
          <w:rFonts w:ascii="Tahoma" w:hAnsi="Tahoma" w:cs="Tahoma"/>
          <w:sz w:val="20"/>
        </w:rPr>
        <w:t xml:space="preserve">Acerca do risco de crédito, o </w:t>
      </w:r>
      <w:r w:rsidR="0023730B" w:rsidRPr="0023730B">
        <w:rPr>
          <w:rFonts w:ascii="Tahoma" w:hAnsi="Tahoma" w:cs="Tahoma"/>
          <w:b/>
          <w:sz w:val="20"/>
        </w:rPr>
        <w:t>FUNDO DE PREVIDÊNCIA SOCIAL DO SERVIDOR – FPSS DE RIO DOS ÍNDIOS</w:t>
      </w:r>
      <w:r w:rsidRPr="00344EA0">
        <w:rPr>
          <w:rFonts w:ascii="Tahoma" w:hAnsi="Tahoma" w:cs="Tahoma"/>
          <w:sz w:val="20"/>
        </w:rPr>
        <w:t>deveráconsiderar o parâmetro mínimo de qualidade média dedívida</w:t>
      </w:r>
      <w:r w:rsidR="008B708A" w:rsidRPr="00344EA0">
        <w:rPr>
          <w:rFonts w:ascii="Tahoma" w:hAnsi="Tahoma" w:cs="Tahoma"/>
          <w:sz w:val="20"/>
        </w:rPr>
        <w:t xml:space="preserve"> para aceitação</w:t>
      </w:r>
      <w:r w:rsidR="00B608E8" w:rsidRPr="00344EA0">
        <w:rPr>
          <w:rFonts w:ascii="Tahoma" w:hAnsi="Tahoma" w:cs="Tahoma"/>
          <w:sz w:val="20"/>
        </w:rPr>
        <w:t xml:space="preserve">de investimentos </w:t>
      </w:r>
      <w:r w:rsidR="005B782C" w:rsidRPr="00344EA0">
        <w:rPr>
          <w:rFonts w:ascii="Tahoma" w:hAnsi="Tahoma" w:cs="Tahoma"/>
          <w:sz w:val="20"/>
        </w:rPr>
        <w:t xml:space="preserve">pelo </w:t>
      </w:r>
      <w:r w:rsidR="00A43E19" w:rsidRPr="00344EA0">
        <w:rPr>
          <w:rFonts w:ascii="Tahoma" w:hAnsi="Tahoma" w:cs="Tahoma"/>
          <w:sz w:val="20"/>
        </w:rPr>
        <w:t xml:space="preserve">regime próprio de previdência social do </w:t>
      </w:r>
      <w:r w:rsidR="00C27CE8" w:rsidRPr="00344EA0">
        <w:rPr>
          <w:rFonts w:ascii="Tahoma" w:hAnsi="Tahoma" w:cs="Tahoma"/>
          <w:b/>
          <w:sz w:val="20"/>
        </w:rPr>
        <w:t xml:space="preserve">MUNICÍPIO DE </w:t>
      </w:r>
      <w:r w:rsidR="00C27CE8" w:rsidRPr="009A5912">
        <w:rPr>
          <w:rFonts w:ascii="Tahoma" w:hAnsi="Tahoma" w:cs="Tahoma"/>
          <w:b/>
          <w:sz w:val="20"/>
        </w:rPr>
        <w:t>RIO DOS ÍNDIOS</w:t>
      </w:r>
      <w:r w:rsidRPr="00344EA0">
        <w:rPr>
          <w:rFonts w:ascii="Tahoma" w:hAnsi="Tahoma" w:cs="Tahoma"/>
          <w:sz w:val="20"/>
        </w:rPr>
        <w:t xml:space="preserve">ou parâmetros </w:t>
      </w:r>
      <w:r w:rsidR="00B608E8" w:rsidRPr="00344EA0">
        <w:rPr>
          <w:rFonts w:ascii="Tahoma" w:hAnsi="Tahoma" w:cs="Tahoma"/>
          <w:sz w:val="20"/>
        </w:rPr>
        <w:t xml:space="preserve">correspondentes </w:t>
      </w:r>
      <w:r w:rsidRPr="00344EA0">
        <w:rPr>
          <w:rFonts w:ascii="Tahoma" w:hAnsi="Tahoma" w:cs="Tahoma"/>
          <w:sz w:val="20"/>
        </w:rPr>
        <w:t>fundamentados por documento de análise de crédito de empresa de classificação de risco</w:t>
      </w:r>
      <w:r w:rsidR="00B608E8" w:rsidRPr="00344EA0">
        <w:rPr>
          <w:rFonts w:ascii="Tahoma" w:hAnsi="Tahoma" w:cs="Tahoma"/>
          <w:sz w:val="20"/>
        </w:rPr>
        <w:t xml:space="preserve"> reconhecida</w:t>
      </w:r>
      <w:r w:rsidR="005B782C" w:rsidRPr="00344EA0">
        <w:rPr>
          <w:rFonts w:ascii="Tahoma" w:hAnsi="Tahoma" w:cs="Tahoma"/>
          <w:sz w:val="20"/>
        </w:rPr>
        <w:t>.Sendo assim, p</w:t>
      </w:r>
      <w:r w:rsidR="00A43E19" w:rsidRPr="00344EA0">
        <w:rPr>
          <w:rFonts w:ascii="Tahoma" w:hAnsi="Tahoma" w:cs="Tahoma"/>
          <w:sz w:val="20"/>
        </w:rPr>
        <w:t>ara qualquer investimento que este regime próprio</w:t>
      </w:r>
      <w:r w:rsidR="00A43E19" w:rsidRPr="00E8601E">
        <w:rPr>
          <w:rFonts w:ascii="Tahoma" w:hAnsi="Tahoma" w:cs="Tahoma"/>
          <w:sz w:val="20"/>
        </w:rPr>
        <w:t xml:space="preserve"> de previdência social </w:t>
      </w:r>
      <w:r w:rsidR="005B782C" w:rsidRPr="00E8601E">
        <w:rPr>
          <w:rFonts w:ascii="Tahoma" w:hAnsi="Tahoma" w:cs="Tahoma"/>
          <w:sz w:val="20"/>
        </w:rPr>
        <w:t>vier a realizar em caderneta de poupança</w:t>
      </w:r>
      <w:r w:rsidR="008B708A" w:rsidRPr="00E8601E">
        <w:rPr>
          <w:rFonts w:ascii="Tahoma" w:hAnsi="Tahoma" w:cs="Tahoma"/>
          <w:sz w:val="20"/>
        </w:rPr>
        <w:t>,</w:t>
      </w:r>
      <w:r w:rsidR="005B782C" w:rsidRPr="00E8601E">
        <w:rPr>
          <w:rFonts w:ascii="Tahoma" w:hAnsi="Tahoma" w:cs="Tahoma"/>
          <w:sz w:val="20"/>
        </w:rPr>
        <w:t xml:space="preserve"> em fundos de d</w:t>
      </w:r>
      <w:r w:rsidR="0063031E" w:rsidRPr="00E8601E">
        <w:rPr>
          <w:rFonts w:ascii="Tahoma" w:hAnsi="Tahoma" w:cs="Tahoma"/>
          <w:sz w:val="20"/>
        </w:rPr>
        <w:t>ireitos creditórios abertos e</w:t>
      </w:r>
      <w:r w:rsidR="005B782C" w:rsidRPr="00E8601E">
        <w:rPr>
          <w:rFonts w:ascii="Tahoma" w:hAnsi="Tahoma" w:cs="Tahoma"/>
          <w:sz w:val="20"/>
        </w:rPr>
        <w:t xml:space="preserve"> fechados,</w:t>
      </w:r>
      <w:r w:rsidR="008B708A" w:rsidRPr="00E8601E">
        <w:rPr>
          <w:rFonts w:ascii="Tahoma" w:hAnsi="Tahoma" w:cs="Tahoma"/>
          <w:sz w:val="20"/>
        </w:rPr>
        <w:t xml:space="preserve"> ou ativos </w:t>
      </w:r>
      <w:r w:rsidR="00FF3C88" w:rsidRPr="00E8601E">
        <w:rPr>
          <w:rFonts w:ascii="Tahoma" w:hAnsi="Tahoma" w:cs="Tahoma"/>
          <w:sz w:val="20"/>
        </w:rPr>
        <w:t>ajustados a</w:t>
      </w:r>
      <w:r w:rsidR="008B708A" w:rsidRPr="00E8601E">
        <w:rPr>
          <w:rFonts w:ascii="Tahoma" w:hAnsi="Tahoma" w:cs="Tahoma"/>
          <w:sz w:val="20"/>
        </w:rPr>
        <w:t xml:space="preserve"> esta diretriz, </w:t>
      </w:r>
      <w:r w:rsidR="005B782C" w:rsidRPr="00E8601E">
        <w:rPr>
          <w:rFonts w:ascii="Tahoma" w:hAnsi="Tahoma" w:cs="Tahoma"/>
          <w:sz w:val="20"/>
        </w:rPr>
        <w:t xml:space="preserve">deverá </w:t>
      </w:r>
      <w:r w:rsidR="008B708A" w:rsidRPr="00E8601E">
        <w:rPr>
          <w:rFonts w:ascii="Tahoma" w:hAnsi="Tahoma" w:cs="Tahoma"/>
          <w:sz w:val="20"/>
        </w:rPr>
        <w:t xml:space="preserve">previamente </w:t>
      </w:r>
      <w:r w:rsidR="00B608E8" w:rsidRPr="00E8601E">
        <w:rPr>
          <w:rFonts w:ascii="Tahoma" w:hAnsi="Tahoma" w:cs="Tahoma"/>
          <w:sz w:val="20"/>
        </w:rPr>
        <w:t>existir uma consultaa</w:t>
      </w:r>
      <w:r w:rsidR="008B708A" w:rsidRPr="00E8601E">
        <w:rPr>
          <w:rFonts w:ascii="Tahoma" w:hAnsi="Tahoma" w:cs="Tahoma"/>
          <w:sz w:val="20"/>
        </w:rPr>
        <w:t>o</w:t>
      </w:r>
      <w:r w:rsidR="005B782C" w:rsidRPr="00E8601E">
        <w:rPr>
          <w:rFonts w:ascii="Tahoma" w:hAnsi="Tahoma" w:cs="Tahoma"/>
          <w:i/>
          <w:sz w:val="20"/>
        </w:rPr>
        <w:t>rating</w:t>
      </w:r>
      <w:r w:rsidR="005B782C" w:rsidRPr="00E8601E">
        <w:rPr>
          <w:rFonts w:ascii="Tahoma" w:hAnsi="Tahoma" w:cs="Tahoma"/>
          <w:sz w:val="20"/>
        </w:rPr>
        <w:t xml:space="preserve"> acima estipulado de acordo com uma das agências classificadoras de risco de crédito.</w:t>
      </w:r>
    </w:p>
    <w:p w:rsidR="0063031E" w:rsidRDefault="0063031E" w:rsidP="00FC345B">
      <w:pPr>
        <w:spacing w:after="120"/>
        <w:jc w:val="both"/>
        <w:rPr>
          <w:rFonts w:ascii="Tahoma" w:hAnsi="Tahoma" w:cs="Tahoma"/>
          <w:b/>
          <w:sz w:val="20"/>
        </w:rPr>
      </w:pPr>
    </w:p>
    <w:p w:rsidR="00C44074" w:rsidRDefault="00C44074" w:rsidP="00FC345B">
      <w:pPr>
        <w:spacing w:after="120"/>
        <w:jc w:val="both"/>
        <w:rPr>
          <w:rFonts w:ascii="Tahoma" w:hAnsi="Tahoma" w:cs="Tahoma"/>
          <w:b/>
          <w:sz w:val="20"/>
        </w:rPr>
      </w:pPr>
    </w:p>
    <w:p w:rsidR="00C44074" w:rsidRDefault="00C44074" w:rsidP="00FC345B">
      <w:pPr>
        <w:spacing w:after="120"/>
        <w:jc w:val="both"/>
        <w:rPr>
          <w:rFonts w:ascii="Tahoma" w:hAnsi="Tahoma" w:cs="Tahoma"/>
          <w:b/>
          <w:sz w:val="20"/>
        </w:rPr>
      </w:pPr>
    </w:p>
    <w:p w:rsidR="00C44074" w:rsidRDefault="00C44074" w:rsidP="00FC345B">
      <w:pPr>
        <w:spacing w:after="120"/>
        <w:jc w:val="both"/>
        <w:rPr>
          <w:rFonts w:ascii="Tahoma" w:hAnsi="Tahoma" w:cs="Tahoma"/>
          <w:b/>
          <w:sz w:val="20"/>
        </w:rPr>
      </w:pPr>
    </w:p>
    <w:p w:rsidR="00C44074" w:rsidRDefault="00C44074" w:rsidP="00FC345B">
      <w:pPr>
        <w:spacing w:after="120"/>
        <w:jc w:val="both"/>
        <w:rPr>
          <w:rFonts w:ascii="Tahoma" w:hAnsi="Tahoma" w:cs="Tahoma"/>
          <w:b/>
          <w:sz w:val="20"/>
        </w:rPr>
      </w:pPr>
    </w:p>
    <w:p w:rsidR="00C44074" w:rsidRDefault="00C44074" w:rsidP="00FC345B">
      <w:pPr>
        <w:spacing w:after="120"/>
        <w:jc w:val="both"/>
        <w:rPr>
          <w:rFonts w:ascii="Tahoma" w:hAnsi="Tahoma" w:cs="Tahoma"/>
          <w:b/>
          <w:sz w:val="20"/>
        </w:rPr>
      </w:pPr>
    </w:p>
    <w:p w:rsidR="00C44074" w:rsidRDefault="00C44074" w:rsidP="00FC345B">
      <w:pPr>
        <w:spacing w:after="120"/>
        <w:jc w:val="both"/>
        <w:rPr>
          <w:rFonts w:ascii="Tahoma" w:hAnsi="Tahoma" w:cs="Tahoma"/>
          <w:b/>
          <w:sz w:val="20"/>
        </w:rPr>
      </w:pPr>
    </w:p>
    <w:p w:rsidR="00C44074" w:rsidRDefault="00C44074" w:rsidP="00FC345B">
      <w:pPr>
        <w:spacing w:after="120"/>
        <w:jc w:val="both"/>
        <w:rPr>
          <w:rFonts w:ascii="Tahoma" w:hAnsi="Tahoma" w:cs="Tahoma"/>
          <w:b/>
          <w:sz w:val="20"/>
        </w:rPr>
      </w:pPr>
    </w:p>
    <w:p w:rsidR="00C44074" w:rsidRDefault="00C44074" w:rsidP="00FC345B">
      <w:pPr>
        <w:spacing w:after="120"/>
        <w:jc w:val="both"/>
        <w:rPr>
          <w:rFonts w:ascii="Tahoma" w:hAnsi="Tahoma" w:cs="Tahoma"/>
          <w:b/>
          <w:sz w:val="20"/>
        </w:rPr>
      </w:pPr>
    </w:p>
    <w:p w:rsidR="00C44074" w:rsidRDefault="00C44074" w:rsidP="00FC345B">
      <w:pPr>
        <w:spacing w:after="120"/>
        <w:jc w:val="both"/>
        <w:rPr>
          <w:rFonts w:ascii="Tahoma" w:hAnsi="Tahoma" w:cs="Tahoma"/>
          <w:b/>
          <w:sz w:val="20"/>
        </w:rPr>
      </w:pPr>
    </w:p>
    <w:p w:rsidR="00C44074" w:rsidRDefault="00C44074" w:rsidP="00FC345B">
      <w:pPr>
        <w:spacing w:after="120"/>
        <w:jc w:val="both"/>
        <w:rPr>
          <w:rFonts w:ascii="Tahoma" w:hAnsi="Tahoma" w:cs="Tahoma"/>
          <w:b/>
          <w:sz w:val="20"/>
        </w:rPr>
      </w:pPr>
    </w:p>
    <w:p w:rsidR="00AF387E" w:rsidRPr="00E8601E" w:rsidRDefault="00AF387E" w:rsidP="00AF387E">
      <w:pPr>
        <w:spacing w:after="120"/>
        <w:jc w:val="both"/>
        <w:rPr>
          <w:rFonts w:ascii="Tahoma" w:hAnsi="Tahoma" w:cs="Tahoma"/>
          <w:b/>
          <w:sz w:val="20"/>
        </w:rPr>
      </w:pPr>
      <w:r w:rsidRPr="00E8601E">
        <w:rPr>
          <w:rFonts w:ascii="Tahoma" w:hAnsi="Tahoma" w:cs="Tahoma"/>
          <w:b/>
          <w:sz w:val="20"/>
        </w:rPr>
        <w:t>Credenciamento</w:t>
      </w:r>
    </w:p>
    <w:p w:rsidR="00AF387E" w:rsidRPr="00E8601E" w:rsidRDefault="00AF387E" w:rsidP="00AF387E">
      <w:pPr>
        <w:spacing w:after="120"/>
        <w:jc w:val="both"/>
        <w:rPr>
          <w:rFonts w:ascii="Tahoma" w:hAnsi="Tahoma" w:cs="Tahoma"/>
          <w:sz w:val="20"/>
        </w:rPr>
      </w:pPr>
      <w:r w:rsidRPr="00344EA0">
        <w:rPr>
          <w:rFonts w:ascii="Tahoma" w:hAnsi="Tahoma" w:cs="Tahoma"/>
          <w:sz w:val="20"/>
        </w:rPr>
        <w:t xml:space="preserve">O </w:t>
      </w:r>
      <w:r w:rsidR="0023730B" w:rsidRPr="0023730B">
        <w:rPr>
          <w:rFonts w:ascii="Tahoma" w:hAnsi="Tahoma" w:cs="Tahoma"/>
          <w:b/>
          <w:sz w:val="20"/>
        </w:rPr>
        <w:t>FUNDO DE PREVIDÊNCIA SOCIAL DO SERVIDOR – FPSS DE RIO DOS ÍNDIOS</w:t>
      </w:r>
      <w:r w:rsidRPr="00344EA0">
        <w:rPr>
          <w:rFonts w:ascii="Tahoma" w:hAnsi="Tahoma" w:cs="Tahoma"/>
          <w:sz w:val="20"/>
        </w:rPr>
        <w:t>no ano</w:t>
      </w:r>
      <w:r w:rsidRPr="00E8601E">
        <w:rPr>
          <w:rFonts w:ascii="Tahoma" w:hAnsi="Tahoma" w:cs="Tahoma"/>
          <w:sz w:val="20"/>
        </w:rPr>
        <w:t xml:space="preserve"> de 201</w:t>
      </w:r>
      <w:r w:rsidR="00564AED">
        <w:rPr>
          <w:rFonts w:ascii="Tahoma" w:hAnsi="Tahoma" w:cs="Tahoma"/>
          <w:sz w:val="20"/>
        </w:rPr>
        <w:t>9</w:t>
      </w:r>
      <w:r w:rsidRPr="00E8601E">
        <w:rPr>
          <w:rFonts w:ascii="Tahoma" w:hAnsi="Tahoma" w:cs="Tahoma"/>
          <w:sz w:val="20"/>
        </w:rPr>
        <w:t xml:space="preserve"> está adequado as medidas necessárias para colocar em prática o Termo de Análise de </w:t>
      </w:r>
      <w:r w:rsidR="00A90290" w:rsidRPr="00E8601E">
        <w:rPr>
          <w:rFonts w:ascii="Tahoma" w:hAnsi="Tahoma" w:cs="Tahoma"/>
          <w:sz w:val="20"/>
        </w:rPr>
        <w:t>C</w:t>
      </w:r>
      <w:r w:rsidRPr="00E8601E">
        <w:rPr>
          <w:rFonts w:ascii="Tahoma" w:hAnsi="Tahoma" w:cs="Tahoma"/>
          <w:sz w:val="20"/>
        </w:rPr>
        <w:t xml:space="preserve">redenciamento e o </w:t>
      </w:r>
      <w:r w:rsidR="00A90290" w:rsidRPr="00E8601E">
        <w:rPr>
          <w:rFonts w:ascii="Tahoma" w:hAnsi="Tahoma" w:cs="Tahoma"/>
          <w:sz w:val="20"/>
        </w:rPr>
        <w:t>A</w:t>
      </w:r>
      <w:r w:rsidRPr="00E8601E">
        <w:rPr>
          <w:rFonts w:ascii="Tahoma" w:hAnsi="Tahoma" w:cs="Tahoma"/>
          <w:sz w:val="20"/>
        </w:rPr>
        <w:t>testado de Credenciamento que tem por finalidade credenciar instituições e veículos de investimentos escolhidos para receber as aplicações dos recursos.</w:t>
      </w:r>
    </w:p>
    <w:p w:rsidR="00AF387E" w:rsidRPr="00E8601E" w:rsidRDefault="00AF387E" w:rsidP="00AF387E">
      <w:pPr>
        <w:spacing w:after="120"/>
        <w:jc w:val="both"/>
        <w:rPr>
          <w:rFonts w:ascii="Tahoma" w:hAnsi="Tahoma" w:cs="Tahoma"/>
          <w:sz w:val="20"/>
        </w:rPr>
      </w:pPr>
      <w:r w:rsidRPr="00E8601E">
        <w:rPr>
          <w:rFonts w:ascii="Tahoma" w:hAnsi="Tahoma" w:cs="Tahoma"/>
          <w:sz w:val="20"/>
        </w:rPr>
        <w:t>O objetivo é trazer uma maior uniformidade e racionalização do processo de credenciamento pelos gestores de RPPS, com a definição, por exemplo, de um padrão mínimo de informações a serem analisadas e diminuição dos documentos em papel que compõem o processo de análise. Essas orientações foram definidas pela Portaria MPS nº 300/2015, que previu a obrigatoriedade de registro da análise dos requisitos no “Termo de Análise de Credenciamento”, e da decisão de credenciamento no “Atestado de Credenciamento”.</w:t>
      </w:r>
    </w:p>
    <w:p w:rsidR="00AF387E" w:rsidRPr="00E8601E" w:rsidRDefault="00AF387E" w:rsidP="00AF387E">
      <w:pPr>
        <w:spacing w:after="120"/>
        <w:jc w:val="both"/>
        <w:rPr>
          <w:rFonts w:ascii="Tahoma" w:hAnsi="Tahoma" w:cs="Tahoma"/>
          <w:sz w:val="20"/>
        </w:rPr>
      </w:pPr>
      <w:r w:rsidRPr="00E8601E">
        <w:rPr>
          <w:rFonts w:ascii="Tahoma" w:hAnsi="Tahoma" w:cs="Tahoma"/>
          <w:sz w:val="20"/>
        </w:rPr>
        <w:t>A medida também busca assegurar as condições de segurança, rentabilidade, solvência e li</w:t>
      </w:r>
      <w:r w:rsidR="00400D6B">
        <w:rPr>
          <w:rFonts w:ascii="Tahoma" w:hAnsi="Tahoma" w:cs="Tahoma"/>
          <w:sz w:val="20"/>
        </w:rPr>
        <w:t>quidez de que trata a Resolução</w:t>
      </w:r>
      <w:r w:rsidR="00400D6B" w:rsidRPr="00A525D2">
        <w:rPr>
          <w:rFonts w:ascii="Tahoma" w:hAnsi="Tahoma" w:cs="Tahoma"/>
          <w:sz w:val="20"/>
        </w:rPr>
        <w:t xml:space="preserve"> CMN 3.922/2010 e com as alterações descritas na resolução 4.604/2017</w:t>
      </w:r>
      <w:r w:rsidRPr="00E8601E">
        <w:rPr>
          <w:rFonts w:ascii="Tahoma" w:hAnsi="Tahoma" w:cs="Tahoma"/>
          <w:sz w:val="20"/>
        </w:rPr>
        <w:t>, conferindo transparência à análise pelo gestor de recursos do RPPS dos veículos de investimento aptos a receber as aplicações dos RPPS, por meio das informações relativas às instituições responsáveis por sua administração e gestão, considerando o histórico, experiência, estrutura e padrão ético dessas instituições e a rentabilidade e os riscos de cada aplicação.</w:t>
      </w:r>
    </w:p>
    <w:p w:rsidR="00251F7D" w:rsidRPr="00E8601E" w:rsidRDefault="00251F7D">
      <w:pPr>
        <w:rPr>
          <w:rFonts w:ascii="Tahoma" w:hAnsi="Tahoma" w:cs="Tahoma"/>
          <w:sz w:val="20"/>
        </w:rPr>
      </w:pPr>
      <w:r w:rsidRPr="00E8601E">
        <w:rPr>
          <w:rFonts w:ascii="Tahoma" w:hAnsi="Tahoma" w:cs="Tahoma"/>
          <w:sz w:val="20"/>
        </w:rPr>
        <w:br w:type="page"/>
      </w:r>
    </w:p>
    <w:p w:rsidR="0063031E" w:rsidRPr="00E8601E" w:rsidRDefault="00B51440" w:rsidP="00B51440">
      <w:pPr>
        <w:spacing w:after="120"/>
        <w:jc w:val="both"/>
        <w:outlineLvl w:val="0"/>
        <w:rPr>
          <w:sz w:val="20"/>
        </w:rPr>
      </w:pPr>
      <w:bookmarkStart w:id="61" w:name="_Toc436037002"/>
      <w:bookmarkStart w:id="62" w:name="_Toc436040739"/>
      <w:bookmarkStart w:id="63" w:name="_Toc496874723"/>
      <w:r w:rsidRPr="00E8601E">
        <w:rPr>
          <w:rStyle w:val="Ttulo1Char"/>
          <w:sz w:val="22"/>
        </w:rPr>
        <w:lastRenderedPageBreak/>
        <w:t>ESTRATÉGIA PARA ALOCAÇÃO DE RECURSOS</w:t>
      </w:r>
      <w:bookmarkEnd w:id="61"/>
      <w:bookmarkEnd w:id="62"/>
      <w:bookmarkEnd w:id="63"/>
      <w:r w:rsidRPr="00E8601E">
        <w:rPr>
          <w:sz w:val="20"/>
        </w:rPr>
        <w:object w:dxaOrig="3163" w:dyaOrig="3187">
          <v:shape id="_x0000_i1039" type="#_x0000_t75" style="width:23.25pt;height:23.25pt" o:ole="">
            <v:imagedata r:id="rId10" o:title=""/>
          </v:shape>
          <o:OLEObject Type="Embed" ProgID="CorelDRAW.Graphic.13" ShapeID="_x0000_i1039" DrawAspect="Content" ObjectID="_1608620662" r:id="rId34"/>
        </w:object>
      </w:r>
    </w:p>
    <w:p w:rsidR="00B51440" w:rsidRPr="00E8601E" w:rsidRDefault="00B51440" w:rsidP="00FC345B">
      <w:pPr>
        <w:spacing w:after="120"/>
        <w:jc w:val="both"/>
        <w:outlineLvl w:val="2"/>
        <w:rPr>
          <w:rFonts w:ascii="Tahoma" w:hAnsi="Tahoma" w:cs="Tahoma"/>
          <w:sz w:val="20"/>
        </w:rPr>
      </w:pPr>
    </w:p>
    <w:p w:rsidR="00FF3C88" w:rsidRPr="00344EA0" w:rsidRDefault="00547A12" w:rsidP="00FC345B">
      <w:pPr>
        <w:spacing w:after="240"/>
        <w:jc w:val="both"/>
        <w:rPr>
          <w:rFonts w:ascii="Tahoma" w:hAnsi="Tahoma" w:cs="Tahoma"/>
          <w:sz w:val="20"/>
        </w:rPr>
      </w:pPr>
      <w:r w:rsidRPr="00E8601E">
        <w:rPr>
          <w:rFonts w:ascii="Tahoma" w:hAnsi="Tahoma" w:cs="Tahoma"/>
          <w:sz w:val="20"/>
        </w:rPr>
        <w:t xml:space="preserve">O resumo da política anual de investimentos é um produto </w:t>
      </w:r>
      <w:r w:rsidR="0034322E" w:rsidRPr="00E8601E">
        <w:rPr>
          <w:rFonts w:ascii="Tahoma" w:hAnsi="Tahoma" w:cs="Tahoma"/>
          <w:sz w:val="20"/>
        </w:rPr>
        <w:t xml:space="preserve">sintético e </w:t>
      </w:r>
      <w:r w:rsidRPr="00E8601E">
        <w:rPr>
          <w:rFonts w:ascii="Tahoma" w:hAnsi="Tahoma" w:cs="Tahoma"/>
          <w:sz w:val="20"/>
        </w:rPr>
        <w:t xml:space="preserve">indicativo construído a partir dos fundamentos desenvolvidos neste documento. </w:t>
      </w:r>
      <w:r w:rsidR="00162C91" w:rsidRPr="00E8601E">
        <w:rPr>
          <w:rFonts w:ascii="Tahoma" w:hAnsi="Tahoma" w:cs="Tahoma"/>
          <w:sz w:val="20"/>
        </w:rPr>
        <w:t>Considerando a conjuntura econômica e a análise de mercado, os objetivos estabelecidos</w:t>
      </w:r>
      <w:r w:rsidR="0034322E" w:rsidRPr="00E8601E">
        <w:rPr>
          <w:rFonts w:ascii="Tahoma" w:hAnsi="Tahoma" w:cs="Tahoma"/>
          <w:sz w:val="20"/>
        </w:rPr>
        <w:t xml:space="preserve">, e as diretrizes para a alocação dos recursos </w:t>
      </w:r>
      <w:r w:rsidR="0034322E" w:rsidRPr="00344EA0">
        <w:rPr>
          <w:rFonts w:ascii="Tahoma" w:hAnsi="Tahoma" w:cs="Tahoma"/>
          <w:sz w:val="20"/>
        </w:rPr>
        <w:t xml:space="preserve">do </w:t>
      </w:r>
      <w:r w:rsidR="00564AED">
        <w:rPr>
          <w:rFonts w:ascii="Tahoma" w:hAnsi="Tahoma" w:cs="Tahoma"/>
          <w:b/>
          <w:sz w:val="20"/>
        </w:rPr>
        <w:t>RPPS</w:t>
      </w:r>
      <w:r w:rsidR="0034322E" w:rsidRPr="00344EA0">
        <w:rPr>
          <w:rFonts w:ascii="Tahoma" w:hAnsi="Tahoma" w:cs="Tahoma"/>
          <w:sz w:val="20"/>
        </w:rPr>
        <w:t xml:space="preserve">, configurou-se </w:t>
      </w:r>
      <w:r w:rsidR="005A2EEE" w:rsidRPr="00344EA0">
        <w:rPr>
          <w:rFonts w:ascii="Tahoma" w:hAnsi="Tahoma" w:cs="Tahoma"/>
          <w:sz w:val="20"/>
        </w:rPr>
        <w:t xml:space="preserve">a possibilidade de uma </w:t>
      </w:r>
      <w:r w:rsidR="004D3798" w:rsidRPr="00344EA0">
        <w:rPr>
          <w:rFonts w:ascii="Tahoma" w:hAnsi="Tahoma" w:cs="Tahoma"/>
          <w:sz w:val="20"/>
        </w:rPr>
        <w:t xml:space="preserve">maior </w:t>
      </w:r>
      <w:r w:rsidR="005A2EEE" w:rsidRPr="00344EA0">
        <w:rPr>
          <w:rFonts w:ascii="Tahoma" w:hAnsi="Tahoma" w:cs="Tahoma"/>
          <w:sz w:val="20"/>
        </w:rPr>
        <w:t xml:space="preserve">diversificação para a carteira de investimentos segundo </w:t>
      </w:r>
      <w:r w:rsidR="0034322E" w:rsidRPr="00344EA0">
        <w:rPr>
          <w:rFonts w:ascii="Tahoma" w:hAnsi="Tahoma" w:cs="Tahoma"/>
          <w:sz w:val="20"/>
        </w:rPr>
        <w:t xml:space="preserve">os limites percentuais de alocação, em conformidade com os limites percentuais previstos na Resolução </w:t>
      </w:r>
      <w:r w:rsidR="00B11A66" w:rsidRPr="00344EA0">
        <w:rPr>
          <w:rFonts w:ascii="Tahoma" w:hAnsi="Tahoma" w:cs="Tahoma"/>
          <w:sz w:val="20"/>
        </w:rPr>
        <w:t>CMN 3.922/2010 e com as alterações descritas na resolução 4.604/2017</w:t>
      </w:r>
      <w:r w:rsidR="0034322E" w:rsidRPr="00344EA0">
        <w:rPr>
          <w:rFonts w:ascii="Tahoma" w:hAnsi="Tahoma" w:cs="Tahoma"/>
          <w:sz w:val="20"/>
        </w:rPr>
        <w:t xml:space="preserve">, registrados no quadro abaixo. </w:t>
      </w:r>
      <w:r w:rsidR="004D3798" w:rsidRPr="00344EA0">
        <w:rPr>
          <w:rFonts w:ascii="Tahoma" w:hAnsi="Tahoma" w:cs="Tahoma"/>
          <w:sz w:val="20"/>
        </w:rPr>
        <w:t>As aplicações no segmento de renda fixa poderão representar até 100% da alocação dos recursos, e o segmento de renda variável, até 30%</w:t>
      </w:r>
      <w:r w:rsidR="00FF3C88" w:rsidRPr="00344EA0">
        <w:rPr>
          <w:rFonts w:ascii="Tahoma" w:hAnsi="Tahoma" w:cs="Tahoma"/>
          <w:sz w:val="20"/>
        </w:rPr>
        <w:t xml:space="preserve">. </w:t>
      </w:r>
    </w:p>
    <w:p w:rsidR="00A358CF" w:rsidRPr="00344EA0" w:rsidRDefault="009C788D" w:rsidP="00FC345B">
      <w:pPr>
        <w:spacing w:after="240"/>
        <w:jc w:val="both"/>
        <w:rPr>
          <w:rFonts w:ascii="Tahoma" w:hAnsi="Tahoma" w:cs="Tahoma"/>
          <w:sz w:val="20"/>
        </w:rPr>
      </w:pPr>
      <w:r w:rsidRPr="00344EA0">
        <w:rPr>
          <w:rFonts w:ascii="Tahoma" w:hAnsi="Tahoma" w:cs="Tahoma"/>
          <w:sz w:val="20"/>
        </w:rPr>
        <w:t xml:space="preserve">O </w:t>
      </w:r>
      <w:r w:rsidR="0023730B" w:rsidRPr="0023730B">
        <w:rPr>
          <w:rFonts w:ascii="Tahoma" w:hAnsi="Tahoma" w:cs="Tahoma"/>
          <w:b/>
          <w:sz w:val="20"/>
        </w:rPr>
        <w:t>FUNDO DE PREVIDÊNCIA SOCIAL DO SERVIDOR – FPSS DE RIO DOS ÍNDIOS</w:t>
      </w:r>
      <w:r w:rsidRPr="00344EA0">
        <w:rPr>
          <w:rFonts w:ascii="Tahoma" w:hAnsi="Tahoma" w:cs="Tahoma"/>
          <w:sz w:val="20"/>
        </w:rPr>
        <w:t xml:space="preserve">estará seguindo as determinações e obrigatoriedades </w:t>
      </w:r>
      <w:r w:rsidR="00592455" w:rsidRPr="00344EA0">
        <w:rPr>
          <w:rFonts w:ascii="Tahoma" w:hAnsi="Tahoma" w:cs="Tahoma"/>
          <w:sz w:val="20"/>
        </w:rPr>
        <w:t>da PORTARIA</w:t>
      </w:r>
      <w:r w:rsidRPr="00344EA0">
        <w:rPr>
          <w:rFonts w:ascii="Tahoma" w:hAnsi="Tahoma" w:cs="Tahoma"/>
          <w:sz w:val="20"/>
        </w:rPr>
        <w:t xml:space="preserve"> MPS Nº 300, 03 de julho de 2015, onde Ministério da Previdência Social (MPS) criou novas regras para classificar os Regimes Próprios de Previdência Social (RPPS), </w:t>
      </w:r>
      <w:r w:rsidR="00EE745C" w:rsidRPr="00344EA0">
        <w:rPr>
          <w:rFonts w:ascii="Tahoma" w:hAnsi="Tahoma" w:cs="Tahoma"/>
          <w:sz w:val="20"/>
        </w:rPr>
        <w:t>como investidores qualificados</w:t>
      </w:r>
      <w:r w:rsidR="00EE745C">
        <w:rPr>
          <w:rFonts w:ascii="Tahoma" w:hAnsi="Tahoma" w:cs="Tahoma"/>
          <w:sz w:val="20"/>
        </w:rPr>
        <w:t>, geral ou profissional</w:t>
      </w:r>
      <w:r w:rsidRPr="00344EA0">
        <w:rPr>
          <w:rFonts w:ascii="Tahoma" w:hAnsi="Tahoma" w:cs="Tahoma"/>
          <w:sz w:val="20"/>
        </w:rPr>
        <w:t>. Neste momento pelo Patrimônio que o RPPS possui</w:t>
      </w:r>
      <w:r w:rsidR="00EE745C">
        <w:rPr>
          <w:rFonts w:ascii="Tahoma" w:hAnsi="Tahoma" w:cs="Tahoma"/>
          <w:sz w:val="20"/>
        </w:rPr>
        <w:t xml:space="preserve"> e/ou demais regras</w:t>
      </w:r>
      <w:r w:rsidRPr="00344EA0">
        <w:rPr>
          <w:rFonts w:ascii="Tahoma" w:hAnsi="Tahoma" w:cs="Tahoma"/>
          <w:sz w:val="20"/>
        </w:rPr>
        <w:t xml:space="preserve">, estamos enquadrados </w:t>
      </w:r>
      <w:r w:rsidRPr="005A3F68">
        <w:rPr>
          <w:rFonts w:ascii="Tahoma" w:hAnsi="Tahoma" w:cs="Tahoma"/>
          <w:sz w:val="20"/>
        </w:rPr>
        <w:t xml:space="preserve">como investidor </w:t>
      </w:r>
      <w:r w:rsidR="005A3F68" w:rsidRPr="005A3F68">
        <w:rPr>
          <w:rFonts w:ascii="Tahoma" w:hAnsi="Tahoma" w:cs="Tahoma"/>
          <w:sz w:val="20"/>
        </w:rPr>
        <w:t>em Geral</w:t>
      </w:r>
      <w:r w:rsidRPr="005A3F68">
        <w:rPr>
          <w:rFonts w:ascii="Tahoma" w:hAnsi="Tahoma" w:cs="Tahoma"/>
          <w:sz w:val="20"/>
        </w:rPr>
        <w:t>,</w:t>
      </w:r>
      <w:r w:rsidRPr="00344EA0">
        <w:rPr>
          <w:rFonts w:ascii="Tahoma" w:hAnsi="Tahoma" w:cs="Tahoma"/>
          <w:sz w:val="20"/>
        </w:rPr>
        <w:t xml:space="preserve"> sendo assim estaremos analisando cuidadosamente o regulamento e prospecto do fundo de investimento antes de realizar o aporte.</w:t>
      </w:r>
    </w:p>
    <w:p w:rsidR="00A358CF" w:rsidRPr="00E8601E" w:rsidRDefault="00A358CF" w:rsidP="00FC345B">
      <w:pPr>
        <w:spacing w:after="240"/>
        <w:jc w:val="both"/>
        <w:rPr>
          <w:rFonts w:ascii="Tahoma" w:hAnsi="Tahoma" w:cs="Tahoma"/>
          <w:sz w:val="20"/>
        </w:rPr>
      </w:pPr>
      <w:r w:rsidRPr="00344EA0">
        <w:rPr>
          <w:rFonts w:ascii="Tahoma" w:hAnsi="Tahoma" w:cs="Tahoma"/>
          <w:sz w:val="20"/>
        </w:rPr>
        <w:t xml:space="preserve">Em resumo, os investimentos do </w:t>
      </w:r>
      <w:r w:rsidR="0023730B" w:rsidRPr="0023730B">
        <w:rPr>
          <w:rFonts w:ascii="Tahoma" w:hAnsi="Tahoma" w:cs="Tahoma"/>
          <w:b/>
          <w:sz w:val="20"/>
        </w:rPr>
        <w:t>FUNDO DE PREVIDÊNCIA SOCIAL DO SERVIDOR – FPSS DE RIO DOS ÍNDIOS</w:t>
      </w:r>
      <w:bookmarkStart w:id="64" w:name="_GoBack"/>
      <w:bookmarkEnd w:id="64"/>
      <w:r w:rsidRPr="00344EA0">
        <w:rPr>
          <w:rFonts w:ascii="Tahoma" w:hAnsi="Tahoma" w:cs="Tahoma"/>
          <w:sz w:val="20"/>
        </w:rPr>
        <w:t>em 201</w:t>
      </w:r>
      <w:r w:rsidR="00564AED">
        <w:rPr>
          <w:rFonts w:ascii="Tahoma" w:hAnsi="Tahoma" w:cs="Tahoma"/>
          <w:sz w:val="20"/>
        </w:rPr>
        <w:t>9</w:t>
      </w:r>
      <w:r w:rsidRPr="00344EA0">
        <w:rPr>
          <w:rFonts w:ascii="Tahoma" w:hAnsi="Tahoma" w:cs="Tahoma"/>
          <w:sz w:val="20"/>
        </w:rPr>
        <w:t>, s</w:t>
      </w:r>
      <w:r w:rsidR="00D867EC" w:rsidRPr="00344EA0">
        <w:rPr>
          <w:rFonts w:ascii="Tahoma" w:hAnsi="Tahoma" w:cs="Tahoma"/>
          <w:sz w:val="20"/>
        </w:rPr>
        <w:t xml:space="preserve">eguirão a seguinte distribuição, </w:t>
      </w:r>
      <w:r w:rsidR="00D867EC" w:rsidRPr="00344EA0">
        <w:rPr>
          <w:rFonts w:ascii="Tahoma" w:hAnsi="Tahoma" w:cs="Tahoma"/>
          <w:b/>
          <w:sz w:val="20"/>
        </w:rPr>
        <w:t>VIDE ANEXO I</w:t>
      </w:r>
      <w:r w:rsidR="00D867EC" w:rsidRPr="00E8601E">
        <w:rPr>
          <w:rFonts w:ascii="Tahoma" w:hAnsi="Tahoma" w:cs="Tahoma"/>
          <w:b/>
          <w:sz w:val="20"/>
        </w:rPr>
        <w:t>.</w:t>
      </w:r>
    </w:p>
    <w:p w:rsidR="001B3073" w:rsidRPr="00E8601E" w:rsidRDefault="001B3073" w:rsidP="001B3073">
      <w:pPr>
        <w:jc w:val="center"/>
        <w:rPr>
          <w:sz w:val="20"/>
        </w:rPr>
      </w:pPr>
    </w:p>
    <w:p w:rsidR="00D867EC" w:rsidRPr="00E8601E" w:rsidRDefault="00D867EC">
      <w:pPr>
        <w:rPr>
          <w:rStyle w:val="SubttuloChar"/>
          <w:sz w:val="20"/>
        </w:rPr>
      </w:pPr>
      <w:r w:rsidRPr="00E8601E">
        <w:rPr>
          <w:rStyle w:val="SubttuloChar"/>
          <w:sz w:val="20"/>
        </w:rPr>
        <w:br w:type="page"/>
      </w:r>
    </w:p>
    <w:p w:rsidR="00A358CF" w:rsidRPr="00E8601E" w:rsidRDefault="000E119C" w:rsidP="00E4782B">
      <w:pPr>
        <w:rPr>
          <w:sz w:val="20"/>
        </w:rPr>
      </w:pPr>
      <w:bookmarkStart w:id="65" w:name="_Toc436037003"/>
      <w:bookmarkStart w:id="66" w:name="_Toc496874724"/>
      <w:r w:rsidRPr="00E8601E">
        <w:rPr>
          <w:rStyle w:val="Ttulo1Char"/>
          <w:sz w:val="22"/>
        </w:rPr>
        <w:lastRenderedPageBreak/>
        <w:t>VEDAÇÕES</w:t>
      </w:r>
      <w:bookmarkEnd w:id="65"/>
      <w:bookmarkEnd w:id="66"/>
      <w:r w:rsidRPr="00E8601E">
        <w:rPr>
          <w:sz w:val="20"/>
        </w:rPr>
        <w:object w:dxaOrig="3163" w:dyaOrig="3187">
          <v:shape id="_x0000_i1040" type="#_x0000_t75" style="width:23.25pt;height:23.25pt" o:ole="">
            <v:imagedata r:id="rId10" o:title=""/>
          </v:shape>
          <o:OLEObject Type="Embed" ProgID="CorelDRAW.Graphic.13" ShapeID="_x0000_i1040" DrawAspect="Content" ObjectID="_1608620663" r:id="rId35"/>
        </w:object>
      </w:r>
    </w:p>
    <w:p w:rsidR="00CB26E0" w:rsidRPr="00E8601E" w:rsidRDefault="00CB26E0" w:rsidP="000E119C">
      <w:pPr>
        <w:pStyle w:val="PargrafodaLista"/>
        <w:numPr>
          <w:ilvl w:val="0"/>
          <w:numId w:val="1"/>
        </w:numPr>
        <w:jc w:val="both"/>
        <w:rPr>
          <w:rFonts w:ascii="Tahoma" w:hAnsi="Tahoma" w:cs="Tahoma"/>
          <w:sz w:val="20"/>
        </w:rPr>
      </w:pPr>
      <w:r w:rsidRPr="00E8601E">
        <w:rPr>
          <w:rFonts w:ascii="Tahoma" w:hAnsi="Tahoma" w:cs="Tahoma"/>
          <w:sz w:val="20"/>
        </w:rPr>
        <w:t>Aplicar os recursos em cotas de fundos de investimentos, cuja atuação em mercados de derivativos gere exposições superiores ao respectivo patrimônio líquido;</w:t>
      </w:r>
    </w:p>
    <w:p w:rsidR="00CB26E0" w:rsidRPr="00E8601E" w:rsidRDefault="00CB26E0" w:rsidP="000E119C">
      <w:pPr>
        <w:pStyle w:val="Default"/>
        <w:numPr>
          <w:ilvl w:val="0"/>
          <w:numId w:val="1"/>
        </w:numPr>
        <w:jc w:val="both"/>
        <w:rPr>
          <w:rFonts w:ascii="Tahoma" w:hAnsi="Tahoma" w:cs="Tahoma"/>
          <w:sz w:val="20"/>
          <w:szCs w:val="22"/>
        </w:rPr>
      </w:pPr>
      <w:r w:rsidRPr="00E8601E">
        <w:rPr>
          <w:rFonts w:ascii="Tahoma" w:hAnsi="Tahoma" w:cs="Tahoma"/>
          <w:sz w:val="20"/>
          <w:szCs w:val="22"/>
        </w:rPr>
        <w:t xml:space="preserve">Realizar as operações denominadas day-trade, assim consideradas aquelas iniciadas e encerradas no mesmo dia, independentemente do RPPS possuir estoque ou posição anterior do mesmo ativo, com exceção dos fundos de investimento multimercado; </w:t>
      </w:r>
    </w:p>
    <w:p w:rsidR="00CB26E0" w:rsidRPr="00E8601E" w:rsidRDefault="00CB26E0" w:rsidP="000E119C">
      <w:pPr>
        <w:pStyle w:val="Default"/>
        <w:ind w:left="720"/>
        <w:jc w:val="both"/>
        <w:rPr>
          <w:rFonts w:ascii="Tahoma" w:hAnsi="Tahoma" w:cs="Tahoma"/>
          <w:sz w:val="20"/>
          <w:szCs w:val="22"/>
        </w:rPr>
      </w:pPr>
    </w:p>
    <w:p w:rsidR="00CB26E0" w:rsidRPr="00E8601E" w:rsidRDefault="00CB26E0" w:rsidP="000E119C">
      <w:pPr>
        <w:pStyle w:val="Default"/>
        <w:numPr>
          <w:ilvl w:val="0"/>
          <w:numId w:val="1"/>
        </w:numPr>
        <w:jc w:val="both"/>
        <w:rPr>
          <w:rFonts w:ascii="Tahoma" w:hAnsi="Tahoma" w:cs="Tahoma"/>
          <w:sz w:val="20"/>
          <w:szCs w:val="22"/>
        </w:rPr>
      </w:pPr>
      <w:r w:rsidRPr="00E8601E">
        <w:rPr>
          <w:rFonts w:ascii="Tahoma" w:hAnsi="Tahoma" w:cs="Tahoma"/>
          <w:sz w:val="20"/>
          <w:szCs w:val="22"/>
        </w:rPr>
        <w:t xml:space="preserve"> Atuar em modalidades operacionais ou negociar com duplicatas, títulos de crédito ou outros ativos que não os previstos na </w:t>
      </w:r>
      <w:r w:rsidR="00B11A66" w:rsidRPr="00B20132">
        <w:rPr>
          <w:rFonts w:ascii="Tahoma" w:hAnsi="Tahoma" w:cs="Tahoma"/>
          <w:sz w:val="20"/>
          <w:szCs w:val="22"/>
        </w:rPr>
        <w:t>Resolução CMN 3.922/2010 e conforme as alterações descritas na resolução 4.604/2017</w:t>
      </w:r>
      <w:r w:rsidR="00B11A66">
        <w:rPr>
          <w:rFonts w:ascii="Tahoma" w:hAnsi="Tahoma" w:cs="Tahoma"/>
          <w:sz w:val="20"/>
          <w:szCs w:val="22"/>
        </w:rPr>
        <w:t>;</w:t>
      </w:r>
    </w:p>
    <w:p w:rsidR="00CB26E0" w:rsidRPr="00E8601E" w:rsidRDefault="00CB26E0" w:rsidP="000E119C">
      <w:pPr>
        <w:pStyle w:val="Default"/>
        <w:ind w:left="720"/>
        <w:jc w:val="both"/>
        <w:rPr>
          <w:rFonts w:ascii="Tahoma" w:hAnsi="Tahoma" w:cs="Tahoma"/>
          <w:sz w:val="20"/>
          <w:szCs w:val="22"/>
        </w:rPr>
      </w:pPr>
    </w:p>
    <w:p w:rsidR="00B11A66" w:rsidRDefault="00B11A66" w:rsidP="00B11A66">
      <w:pPr>
        <w:pStyle w:val="Default"/>
        <w:numPr>
          <w:ilvl w:val="0"/>
          <w:numId w:val="1"/>
        </w:numPr>
        <w:jc w:val="both"/>
        <w:rPr>
          <w:rFonts w:ascii="Tahoma" w:hAnsi="Tahoma" w:cs="Tahoma"/>
          <w:sz w:val="20"/>
          <w:szCs w:val="22"/>
        </w:rPr>
      </w:pPr>
      <w:r w:rsidRPr="00B20132">
        <w:rPr>
          <w:rFonts w:ascii="Tahoma" w:hAnsi="Tahoma" w:cs="Tahoma"/>
          <w:sz w:val="20"/>
          <w:szCs w:val="22"/>
        </w:rPr>
        <w:t xml:space="preserve">O total das aplicações dos recursos do regime próprio de previdência social em um mesmo fundo de investimento deverá representar, no máximo, 15% (quinze por cento) </w:t>
      </w:r>
      <w:r>
        <w:rPr>
          <w:rFonts w:ascii="Tahoma" w:hAnsi="Tahoma" w:cs="Tahoma"/>
          <w:sz w:val="20"/>
          <w:szCs w:val="22"/>
        </w:rPr>
        <w:t>do patrimônio líquido do fundo. Com exceção do Art. 7º, VII “a” e “b” e do Art. 8º, IV, “a” e “b” ;</w:t>
      </w:r>
    </w:p>
    <w:p w:rsidR="00B11A66" w:rsidRDefault="00B11A66" w:rsidP="00B11A66">
      <w:pPr>
        <w:pStyle w:val="PargrafodaLista"/>
        <w:rPr>
          <w:rFonts w:ascii="Tahoma" w:hAnsi="Tahoma" w:cs="Tahoma"/>
          <w:sz w:val="20"/>
        </w:rPr>
      </w:pPr>
    </w:p>
    <w:p w:rsidR="00B11A66" w:rsidRDefault="00B11A66" w:rsidP="00B11A66">
      <w:pPr>
        <w:pStyle w:val="Default"/>
        <w:numPr>
          <w:ilvl w:val="0"/>
          <w:numId w:val="1"/>
        </w:numPr>
        <w:jc w:val="both"/>
        <w:rPr>
          <w:rFonts w:ascii="Tahoma" w:hAnsi="Tahoma" w:cs="Tahoma"/>
          <w:sz w:val="20"/>
          <w:szCs w:val="22"/>
        </w:rPr>
      </w:pPr>
      <w:r>
        <w:rPr>
          <w:rFonts w:ascii="Tahoma" w:hAnsi="Tahoma" w:cs="Tahoma"/>
          <w:sz w:val="20"/>
          <w:szCs w:val="22"/>
        </w:rPr>
        <w:t xml:space="preserve">No Segmento, Art.º 7, VII, “a” e “b” e no Art. 8º, IV, “a” e “b”e a exposição das aplicações não poderão representar mais de 5% </w:t>
      </w:r>
      <w:r w:rsidRPr="00B20132">
        <w:rPr>
          <w:rFonts w:ascii="Tahoma" w:hAnsi="Tahoma" w:cs="Tahoma"/>
          <w:sz w:val="20"/>
          <w:szCs w:val="22"/>
        </w:rPr>
        <w:t>(</w:t>
      </w:r>
      <w:r>
        <w:rPr>
          <w:rFonts w:ascii="Tahoma" w:hAnsi="Tahoma" w:cs="Tahoma"/>
          <w:sz w:val="20"/>
          <w:szCs w:val="22"/>
        </w:rPr>
        <w:t>cinco</w:t>
      </w:r>
      <w:r w:rsidRPr="00B20132">
        <w:rPr>
          <w:rFonts w:ascii="Tahoma" w:hAnsi="Tahoma" w:cs="Tahoma"/>
          <w:sz w:val="20"/>
          <w:szCs w:val="22"/>
        </w:rPr>
        <w:t xml:space="preserve"> por cento) </w:t>
      </w:r>
      <w:r>
        <w:rPr>
          <w:rFonts w:ascii="Tahoma" w:hAnsi="Tahoma" w:cs="Tahoma"/>
          <w:sz w:val="20"/>
          <w:szCs w:val="22"/>
        </w:rPr>
        <w:t>do patrimônio líquido do fundo;</w:t>
      </w:r>
    </w:p>
    <w:p w:rsidR="00B11A66" w:rsidRDefault="00B11A66" w:rsidP="00B11A66">
      <w:pPr>
        <w:pStyle w:val="Default"/>
        <w:ind w:left="720"/>
        <w:jc w:val="both"/>
        <w:rPr>
          <w:rFonts w:ascii="Tahoma" w:hAnsi="Tahoma" w:cs="Tahoma"/>
          <w:sz w:val="20"/>
          <w:szCs w:val="22"/>
        </w:rPr>
      </w:pPr>
    </w:p>
    <w:p w:rsidR="00CB26E0" w:rsidRPr="00E8601E" w:rsidRDefault="00CB26E0" w:rsidP="00CB26E0">
      <w:pPr>
        <w:pStyle w:val="Default"/>
        <w:ind w:left="720"/>
        <w:rPr>
          <w:rFonts w:ascii="Tahoma" w:hAnsi="Tahoma" w:cs="Tahoma"/>
          <w:sz w:val="20"/>
          <w:szCs w:val="22"/>
        </w:rPr>
      </w:pPr>
    </w:p>
    <w:p w:rsidR="006F780A" w:rsidRPr="00E8601E" w:rsidRDefault="006F780A">
      <w:pPr>
        <w:rPr>
          <w:rFonts w:ascii="Tahoma" w:hAnsi="Tahoma" w:cs="Tahoma"/>
          <w:sz w:val="20"/>
        </w:rPr>
      </w:pPr>
      <w:r w:rsidRPr="00E8601E">
        <w:rPr>
          <w:rFonts w:ascii="Tahoma" w:hAnsi="Tahoma" w:cs="Tahoma"/>
          <w:sz w:val="20"/>
        </w:rPr>
        <w:br w:type="page"/>
      </w:r>
    </w:p>
    <w:p w:rsidR="006F780A" w:rsidRPr="00E8601E" w:rsidRDefault="006F780A" w:rsidP="006F780A">
      <w:pPr>
        <w:pStyle w:val="Ttulo1"/>
        <w:rPr>
          <w:sz w:val="22"/>
        </w:rPr>
      </w:pPr>
      <w:bookmarkStart w:id="67" w:name="_Toc496874725"/>
      <w:r w:rsidRPr="00E8601E">
        <w:rPr>
          <w:sz w:val="22"/>
        </w:rPr>
        <w:lastRenderedPageBreak/>
        <w:t>DISPOSIÇÕES GERAIS</w:t>
      </w:r>
      <w:bookmarkEnd w:id="67"/>
      <w:r w:rsidRPr="00E8601E">
        <w:rPr>
          <w:sz w:val="22"/>
        </w:rPr>
        <w:object w:dxaOrig="3163" w:dyaOrig="3187">
          <v:shape id="_x0000_i1041" type="#_x0000_t75" style="width:23.25pt;height:23.25pt" o:ole="">
            <v:imagedata r:id="rId10" o:title=""/>
          </v:shape>
          <o:OLEObject Type="Embed" ProgID="CorelDRAW.Graphic.13" ShapeID="_x0000_i1041" DrawAspect="Content" ObjectID="_1608620664" r:id="rId36"/>
        </w:object>
      </w:r>
    </w:p>
    <w:p w:rsidR="006F780A" w:rsidRPr="00E8601E" w:rsidRDefault="006F780A" w:rsidP="006F780A">
      <w:pPr>
        <w:rPr>
          <w:rFonts w:ascii="Tahoma" w:hAnsi="Tahoma" w:cs="Tahoma"/>
          <w:sz w:val="20"/>
        </w:rPr>
      </w:pPr>
    </w:p>
    <w:p w:rsidR="00817F8B" w:rsidRPr="00E8601E" w:rsidRDefault="00560717" w:rsidP="001B3073">
      <w:pPr>
        <w:jc w:val="both"/>
        <w:rPr>
          <w:rFonts w:ascii="Tahoma" w:hAnsi="Tahoma" w:cs="Tahoma"/>
          <w:sz w:val="20"/>
        </w:rPr>
      </w:pPr>
      <w:r w:rsidRPr="00E8601E">
        <w:rPr>
          <w:rFonts w:ascii="Tahoma" w:hAnsi="Tahoma" w:cs="Tahoma"/>
          <w:sz w:val="20"/>
        </w:rPr>
        <w:t>A presente Política de Investimentos está baseada nas avaliações do cenário econômico para o ano de 201</w:t>
      </w:r>
      <w:r w:rsidR="00972273">
        <w:rPr>
          <w:rFonts w:ascii="Tahoma" w:hAnsi="Tahoma" w:cs="Tahoma"/>
          <w:sz w:val="20"/>
        </w:rPr>
        <w:t>9</w:t>
      </w:r>
      <w:r w:rsidRPr="00E8601E">
        <w:rPr>
          <w:rFonts w:ascii="Tahoma" w:hAnsi="Tahoma" w:cs="Tahoma"/>
          <w:sz w:val="20"/>
        </w:rPr>
        <w:t>, tendo-se utilizado, para tanto, dados e cenários constantes do Relatório de Inflação, publicação do Comitê de Política Econômica – COPOM e o Relatório de Mercado - FOCUS, O Boletim Focus é um informe que relata as projeções do mercado com base em consulta a aproximadamente 100 (cem) instituições financeiras, e é divulgado semanalmente.</w:t>
      </w:r>
    </w:p>
    <w:p w:rsidR="00F36301" w:rsidRPr="00344EA0" w:rsidRDefault="0057554C" w:rsidP="00013FE2">
      <w:pPr>
        <w:spacing w:after="120"/>
        <w:jc w:val="both"/>
        <w:rPr>
          <w:rFonts w:ascii="Tahoma" w:hAnsi="Tahoma" w:cs="Tahoma"/>
          <w:sz w:val="20"/>
        </w:rPr>
      </w:pPr>
      <w:r w:rsidRPr="00E8601E">
        <w:rPr>
          <w:rFonts w:ascii="Tahoma" w:hAnsi="Tahoma" w:cs="Tahoma"/>
          <w:sz w:val="20"/>
        </w:rPr>
        <w:t>As disposições gerais completam os quesitos para o encerramento da Política de Investimentos. Destaca-se que e</w:t>
      </w:r>
      <w:r w:rsidR="00C406AA" w:rsidRPr="00E8601E">
        <w:rPr>
          <w:rFonts w:ascii="Tahoma" w:hAnsi="Tahoma" w:cs="Tahoma"/>
          <w:sz w:val="20"/>
        </w:rPr>
        <w:t>sta</w:t>
      </w:r>
      <w:r w:rsidR="002D28D8" w:rsidRPr="00E8601E">
        <w:rPr>
          <w:rFonts w:ascii="Tahoma" w:hAnsi="Tahoma" w:cs="Tahoma"/>
          <w:sz w:val="20"/>
        </w:rPr>
        <w:t xml:space="preserve"> política anual de investimentos dos recursos do regime próprio de previdência </w:t>
      </w:r>
      <w:r w:rsidR="002D28D8" w:rsidRPr="00344EA0">
        <w:rPr>
          <w:rFonts w:ascii="Tahoma" w:hAnsi="Tahoma" w:cs="Tahoma"/>
          <w:sz w:val="20"/>
        </w:rPr>
        <w:t xml:space="preserve">social </w:t>
      </w:r>
      <w:r w:rsidR="00C406AA" w:rsidRPr="00344EA0">
        <w:rPr>
          <w:rFonts w:ascii="Tahoma" w:hAnsi="Tahoma" w:cs="Tahoma"/>
          <w:sz w:val="20"/>
        </w:rPr>
        <w:t xml:space="preserve">do </w:t>
      </w:r>
      <w:r w:rsidR="005A3F68" w:rsidRPr="00344EA0">
        <w:rPr>
          <w:rFonts w:ascii="Tahoma" w:hAnsi="Tahoma" w:cs="Tahoma"/>
          <w:b/>
          <w:sz w:val="20"/>
        </w:rPr>
        <w:t xml:space="preserve">MUNICÍPIO DE </w:t>
      </w:r>
      <w:r w:rsidR="005A3F68" w:rsidRPr="009A5912">
        <w:rPr>
          <w:rFonts w:ascii="Tahoma" w:hAnsi="Tahoma" w:cs="Tahoma"/>
          <w:b/>
          <w:sz w:val="20"/>
        </w:rPr>
        <w:t>RIO DOS ÍNDIOS</w:t>
      </w:r>
      <w:r w:rsidR="002D28D8" w:rsidRPr="00344EA0">
        <w:rPr>
          <w:rFonts w:ascii="Tahoma" w:hAnsi="Tahoma" w:cs="Tahoma"/>
          <w:sz w:val="20"/>
        </w:rPr>
        <w:t>e suas revisões deverão ser aprovadas pelo órgão superior competente, antes d</w:t>
      </w:r>
      <w:r w:rsidR="00C406AA" w:rsidRPr="00344EA0">
        <w:rPr>
          <w:rFonts w:ascii="Tahoma" w:hAnsi="Tahoma" w:cs="Tahoma"/>
          <w:sz w:val="20"/>
        </w:rPr>
        <w:t>a</w:t>
      </w:r>
      <w:r w:rsidR="002D28D8" w:rsidRPr="00344EA0">
        <w:rPr>
          <w:rFonts w:ascii="Tahoma" w:hAnsi="Tahoma" w:cs="Tahoma"/>
          <w:sz w:val="20"/>
        </w:rPr>
        <w:t xml:space="preserve"> sua implementação.</w:t>
      </w:r>
      <w:r w:rsidR="00C406AA" w:rsidRPr="00344EA0">
        <w:rPr>
          <w:rFonts w:ascii="Tahoma" w:hAnsi="Tahoma" w:cs="Tahoma"/>
          <w:sz w:val="20"/>
        </w:rPr>
        <w:t xml:space="preserve"> Justificadamente, a política anual de investimentos poderá ser revista no curso de sua execução, com vistas à adequação ao mercado ou à nova legislação</w:t>
      </w:r>
      <w:r w:rsidRPr="00344EA0">
        <w:rPr>
          <w:rFonts w:ascii="Tahoma" w:hAnsi="Tahoma" w:cs="Tahoma"/>
          <w:sz w:val="20"/>
        </w:rPr>
        <w:t>,conforme prevê a</w:t>
      </w:r>
      <w:r w:rsidR="00C21909" w:rsidRPr="00344EA0">
        <w:rPr>
          <w:rFonts w:ascii="Tahoma" w:hAnsi="Tahoma" w:cs="Tahoma"/>
          <w:sz w:val="20"/>
        </w:rPr>
        <w:t>Resolução CMN 3.922/2010 e com base nas alterações descritas na Resolução 4.604/2017</w:t>
      </w:r>
      <w:r w:rsidR="00C406AA" w:rsidRPr="00344EA0">
        <w:rPr>
          <w:rFonts w:ascii="Tahoma" w:hAnsi="Tahoma" w:cs="Tahoma"/>
          <w:sz w:val="20"/>
        </w:rPr>
        <w:t>.</w:t>
      </w:r>
    </w:p>
    <w:p w:rsidR="00013FE2" w:rsidRPr="00E8601E" w:rsidRDefault="00A97BD2" w:rsidP="00013FE2">
      <w:pPr>
        <w:spacing w:after="120"/>
        <w:jc w:val="both"/>
        <w:rPr>
          <w:rFonts w:ascii="Tahoma" w:hAnsi="Tahoma" w:cs="Tahoma"/>
          <w:sz w:val="20"/>
        </w:rPr>
      </w:pPr>
      <w:r w:rsidRPr="00344EA0">
        <w:rPr>
          <w:rFonts w:ascii="Tahoma" w:hAnsi="Tahoma" w:cs="Tahoma"/>
          <w:sz w:val="20"/>
        </w:rPr>
        <w:t>Além disso, o</w:t>
      </w:r>
      <w:r w:rsidR="00564AED">
        <w:rPr>
          <w:rFonts w:ascii="Tahoma" w:hAnsi="Tahoma" w:cs="Tahoma"/>
          <w:b/>
          <w:sz w:val="20"/>
        </w:rPr>
        <w:t>RPPS</w:t>
      </w:r>
      <w:r w:rsidR="00013FE2" w:rsidRPr="00344EA0">
        <w:rPr>
          <w:rFonts w:ascii="Tahoma" w:hAnsi="Tahoma" w:cs="Tahoma"/>
          <w:sz w:val="20"/>
        </w:rPr>
        <w:t>dever</w:t>
      </w:r>
      <w:r w:rsidR="00A0016D" w:rsidRPr="00344EA0">
        <w:rPr>
          <w:rFonts w:ascii="Tahoma" w:hAnsi="Tahoma" w:cs="Tahoma"/>
          <w:sz w:val="20"/>
        </w:rPr>
        <w:t>á</w:t>
      </w:r>
      <w:r w:rsidRPr="00344EA0">
        <w:rPr>
          <w:rFonts w:ascii="Tahoma" w:hAnsi="Tahoma" w:cs="Tahoma"/>
          <w:sz w:val="20"/>
        </w:rPr>
        <w:t xml:space="preserve"> comprovar junto ao Ministério da Previdência </w:t>
      </w:r>
      <w:r w:rsidR="00013FE2" w:rsidRPr="00344EA0">
        <w:rPr>
          <w:rFonts w:ascii="Tahoma" w:hAnsi="Tahoma" w:cs="Tahoma"/>
          <w:sz w:val="20"/>
        </w:rPr>
        <w:t xml:space="preserve">que o responsável pela gestão dos </w:t>
      </w:r>
      <w:r w:rsidR="00A0016D" w:rsidRPr="00344EA0">
        <w:rPr>
          <w:rFonts w:ascii="Tahoma" w:hAnsi="Tahoma" w:cs="Tahoma"/>
          <w:sz w:val="20"/>
        </w:rPr>
        <w:t xml:space="preserve">seus </w:t>
      </w:r>
      <w:r w:rsidR="00013FE2" w:rsidRPr="00344EA0">
        <w:rPr>
          <w:rFonts w:ascii="Tahoma" w:hAnsi="Tahoma" w:cs="Tahoma"/>
          <w:sz w:val="20"/>
        </w:rPr>
        <w:t>recursos</w:t>
      </w:r>
      <w:r w:rsidR="00A0016D" w:rsidRPr="00344EA0">
        <w:rPr>
          <w:rFonts w:ascii="Tahoma" w:hAnsi="Tahoma" w:cs="Tahoma"/>
          <w:sz w:val="20"/>
        </w:rPr>
        <w:t>, pessoa física vinculada ao ente federativo ou à unidade gestora do regime como servidor titular de cargo efetivo ou de livre nomeação e exoneração, designado para a função por ato da autoridade competente,</w:t>
      </w:r>
      <w:r w:rsidR="00013FE2" w:rsidRPr="00344EA0">
        <w:rPr>
          <w:rFonts w:ascii="Tahoma" w:hAnsi="Tahoma" w:cs="Tahoma"/>
          <w:sz w:val="20"/>
        </w:rPr>
        <w:t xml:space="preserve"> tenha sido aprovado em exame de certificação organizado por entidade autônoma</w:t>
      </w:r>
      <w:r w:rsidR="00013FE2" w:rsidRPr="00E8601E">
        <w:rPr>
          <w:rFonts w:ascii="Tahoma" w:hAnsi="Tahoma" w:cs="Tahoma"/>
          <w:sz w:val="20"/>
        </w:rPr>
        <w:t xml:space="preserve"> de reconhecida capacidade técnica e difusão no mercado brasileiro de capitais</w:t>
      </w:r>
      <w:r w:rsidR="00A0016D" w:rsidRPr="00E8601E">
        <w:rPr>
          <w:rFonts w:ascii="Tahoma" w:hAnsi="Tahoma" w:cs="Tahoma"/>
          <w:sz w:val="20"/>
        </w:rPr>
        <w:t>. Esta</w:t>
      </w:r>
      <w:r w:rsidR="00013FE2" w:rsidRPr="00E8601E">
        <w:rPr>
          <w:rFonts w:ascii="Tahoma" w:hAnsi="Tahoma" w:cs="Tahoma"/>
          <w:sz w:val="20"/>
        </w:rPr>
        <w:t xml:space="preserve"> comprovação ocorrerá mediante o preenchimento dos campos específicos constantes d</w:t>
      </w:r>
      <w:r w:rsidRPr="00E8601E">
        <w:rPr>
          <w:rFonts w:ascii="Tahoma" w:hAnsi="Tahoma" w:cs="Tahoma"/>
          <w:sz w:val="20"/>
        </w:rPr>
        <w:t>edemonstrativo sintético</w:t>
      </w:r>
      <w:r w:rsidR="00A0016D" w:rsidRPr="00E8601E">
        <w:rPr>
          <w:rFonts w:ascii="Tahoma" w:hAnsi="Tahoma" w:cs="Tahoma"/>
          <w:sz w:val="20"/>
        </w:rPr>
        <w:t xml:space="preserve">. </w:t>
      </w:r>
      <w:r w:rsidR="00013FE2" w:rsidRPr="00E8601E">
        <w:rPr>
          <w:rFonts w:ascii="Tahoma" w:hAnsi="Tahoma" w:cs="Tahoma"/>
          <w:sz w:val="20"/>
        </w:rPr>
        <w:t>A validade e autenticidade da certificação informada ser</w:t>
      </w:r>
      <w:r w:rsidR="00A0016D" w:rsidRPr="00E8601E">
        <w:rPr>
          <w:rFonts w:ascii="Tahoma" w:hAnsi="Tahoma" w:cs="Tahoma"/>
          <w:sz w:val="20"/>
        </w:rPr>
        <w:t>ão</w:t>
      </w:r>
      <w:r w:rsidR="00013FE2" w:rsidRPr="00E8601E">
        <w:rPr>
          <w:rFonts w:ascii="Tahoma" w:hAnsi="Tahoma" w:cs="Tahoma"/>
          <w:sz w:val="20"/>
        </w:rPr>
        <w:t xml:space="preserve"> verificada</w:t>
      </w:r>
      <w:r w:rsidR="00A0016D" w:rsidRPr="00E8601E">
        <w:rPr>
          <w:rFonts w:ascii="Tahoma" w:hAnsi="Tahoma" w:cs="Tahoma"/>
          <w:sz w:val="20"/>
        </w:rPr>
        <w:t>s</w:t>
      </w:r>
      <w:r w:rsidR="00013FE2" w:rsidRPr="00E8601E">
        <w:rPr>
          <w:rFonts w:ascii="Tahoma" w:hAnsi="Tahoma" w:cs="Tahoma"/>
          <w:sz w:val="20"/>
        </w:rPr>
        <w:t xml:space="preserve"> junto à entidade certificadora pelos meios por ela disponibilizados.</w:t>
      </w:r>
    </w:p>
    <w:p w:rsidR="00F36301" w:rsidRPr="00E8601E" w:rsidRDefault="00F36301" w:rsidP="00013FE2">
      <w:pPr>
        <w:spacing w:after="120"/>
        <w:jc w:val="both"/>
        <w:rPr>
          <w:rFonts w:ascii="Tahoma" w:hAnsi="Tahoma" w:cs="Tahoma"/>
          <w:sz w:val="20"/>
        </w:rPr>
      </w:pPr>
      <w:r w:rsidRPr="00E8601E">
        <w:rPr>
          <w:rFonts w:ascii="Tahoma" w:hAnsi="Tahoma" w:cs="Tahoma"/>
          <w:sz w:val="20"/>
        </w:rPr>
        <w:t>Reuniões extraordinárias junto ao Comitê gestor de investimentos do RPPS serão realizadas sempre que houver necessidade de ajustes nesta política de investimentos perante o comportamento/conjuntura do mercado, quando se apresentar o interesse da preservação dos ativos financeiros e/ou com vistas à adequação à nova legislação.</w:t>
      </w:r>
    </w:p>
    <w:p w:rsidR="00F36301" w:rsidRPr="00E8601E" w:rsidRDefault="009108D8" w:rsidP="00E26AA2">
      <w:pPr>
        <w:spacing w:after="120"/>
        <w:jc w:val="both"/>
        <w:rPr>
          <w:rFonts w:ascii="Tahoma" w:hAnsi="Tahoma" w:cs="Tahoma"/>
          <w:sz w:val="20"/>
        </w:rPr>
      </w:pPr>
      <w:r w:rsidRPr="00E8601E">
        <w:rPr>
          <w:rFonts w:ascii="Tahoma" w:hAnsi="Tahoma" w:cs="Tahoma"/>
          <w:sz w:val="20"/>
        </w:rPr>
        <w:t>O</w:t>
      </w:r>
      <w:r w:rsidR="00F36301" w:rsidRPr="00E8601E">
        <w:rPr>
          <w:rFonts w:ascii="Tahoma" w:hAnsi="Tahoma" w:cs="Tahoma"/>
          <w:sz w:val="20"/>
        </w:rPr>
        <w:t>s responsáveis pelo acompanhamento e operacionalização dos investimentos do RPPS</w:t>
      </w:r>
      <w:r w:rsidR="003B3510" w:rsidRPr="00E8601E">
        <w:rPr>
          <w:rFonts w:ascii="Tahoma" w:hAnsi="Tahoma" w:cs="Tahoma"/>
          <w:sz w:val="20"/>
        </w:rPr>
        <w:t xml:space="preserve"> (</w:t>
      </w:r>
      <w:r w:rsidR="003B3510" w:rsidRPr="00E8601E">
        <w:rPr>
          <w:rFonts w:ascii="Tahoma" w:hAnsi="Tahoma" w:cs="Tahoma"/>
          <w:sz w:val="20"/>
          <w:u w:val="single"/>
        </w:rPr>
        <w:t>Comitê de Investimentos</w:t>
      </w:r>
      <w:r w:rsidR="003B3510" w:rsidRPr="00E8601E">
        <w:rPr>
          <w:rFonts w:ascii="Tahoma" w:hAnsi="Tahoma" w:cs="Tahoma"/>
          <w:sz w:val="20"/>
        </w:rPr>
        <w:t>)</w:t>
      </w:r>
      <w:r w:rsidRPr="00E8601E">
        <w:rPr>
          <w:rFonts w:ascii="Tahoma" w:hAnsi="Tahoma" w:cs="Tahoma"/>
          <w:sz w:val="20"/>
        </w:rPr>
        <w:t xml:space="preserve"> deverão estar certificados</w:t>
      </w:r>
      <w:r w:rsidR="00F36301" w:rsidRPr="00E8601E">
        <w:rPr>
          <w:rFonts w:ascii="Tahoma" w:hAnsi="Tahoma" w:cs="Tahoma"/>
          <w:sz w:val="20"/>
        </w:rPr>
        <w:t xml:space="preserve">, </w:t>
      </w:r>
      <w:r w:rsidR="007A3992">
        <w:rPr>
          <w:rFonts w:ascii="Tahoma" w:hAnsi="Tahoma" w:cs="Tahoma"/>
          <w:sz w:val="20"/>
        </w:rPr>
        <w:t xml:space="preserve">na sua maioria, </w:t>
      </w:r>
      <w:r w:rsidR="00F36301" w:rsidRPr="00E8601E">
        <w:rPr>
          <w:rFonts w:ascii="Tahoma" w:hAnsi="Tahoma" w:cs="Tahoma"/>
          <w:sz w:val="20"/>
        </w:rPr>
        <w:t>através de exame de certificação organizado por entidade autônoma de reconhecida capacidade técnica e difusão no mercado brasileiro de capitais, cujo conteúdo abrangerá, no mínimo, o contido no anexo a Portaria 440/2013.</w:t>
      </w:r>
    </w:p>
    <w:p w:rsidR="009A70CF" w:rsidRPr="00E8601E" w:rsidRDefault="00E26AA2" w:rsidP="00E26AA2">
      <w:pPr>
        <w:spacing w:after="120"/>
        <w:jc w:val="both"/>
        <w:rPr>
          <w:rFonts w:ascii="Tahoma" w:hAnsi="Tahoma" w:cs="Tahoma"/>
          <w:sz w:val="20"/>
        </w:rPr>
      </w:pPr>
      <w:r w:rsidRPr="00E8601E">
        <w:rPr>
          <w:rFonts w:ascii="Tahoma" w:hAnsi="Tahoma" w:cs="Tahoma"/>
          <w:sz w:val="20"/>
        </w:rPr>
        <w:t xml:space="preserve">A documentação comprobatória </w:t>
      </w:r>
      <w:r w:rsidR="00A97BD2" w:rsidRPr="00E8601E">
        <w:rPr>
          <w:rFonts w:ascii="Tahoma" w:hAnsi="Tahoma" w:cs="Tahoma"/>
          <w:sz w:val="20"/>
        </w:rPr>
        <w:t>desta política anual de investimentos</w:t>
      </w:r>
      <w:r w:rsidRPr="00E8601E">
        <w:rPr>
          <w:rFonts w:ascii="Tahoma" w:hAnsi="Tahoma" w:cs="Tahoma"/>
          <w:sz w:val="20"/>
        </w:rPr>
        <w:t>deverá permanecer à disposição dos órgãos de supervisão competentes.</w:t>
      </w:r>
      <w:r w:rsidR="009A70CF" w:rsidRPr="00E8601E">
        <w:rPr>
          <w:rFonts w:ascii="Tahoma" w:hAnsi="Tahoma" w:cs="Tahoma"/>
          <w:sz w:val="20"/>
        </w:rPr>
        <w:t xml:space="preserve"> Igualmente,estes respectivos documentos devem ser disponibilizados</w:t>
      </w:r>
      <w:r w:rsidR="000E5053" w:rsidRPr="00E8601E">
        <w:rPr>
          <w:rFonts w:ascii="Tahoma" w:hAnsi="Tahoma" w:cs="Tahoma"/>
          <w:sz w:val="20"/>
        </w:rPr>
        <w:t xml:space="preserve"> aos seus segurados e pensionistas </w:t>
      </w:r>
      <w:r w:rsidR="009A70CF" w:rsidRPr="00E8601E">
        <w:rPr>
          <w:rFonts w:ascii="Tahoma" w:hAnsi="Tahoma" w:cs="Tahoma"/>
          <w:sz w:val="20"/>
        </w:rPr>
        <w:t xml:space="preserve">juntamente com </w:t>
      </w:r>
      <w:r w:rsidR="00A97BD2" w:rsidRPr="00E8601E">
        <w:rPr>
          <w:rFonts w:ascii="Tahoma" w:hAnsi="Tahoma" w:cs="Tahoma"/>
          <w:sz w:val="20"/>
        </w:rPr>
        <w:t>as respectivas</w:t>
      </w:r>
      <w:r w:rsidR="000E5053" w:rsidRPr="00E8601E">
        <w:rPr>
          <w:rFonts w:ascii="Tahoma" w:hAnsi="Tahoma" w:cs="Tahoma"/>
          <w:sz w:val="20"/>
        </w:rPr>
        <w:t xml:space="preserve"> revisões, no prazo de trinta dias, contados da data d</w:t>
      </w:r>
      <w:r w:rsidR="00FF3C88" w:rsidRPr="00E8601E">
        <w:rPr>
          <w:rFonts w:ascii="Tahoma" w:hAnsi="Tahoma" w:cs="Tahoma"/>
          <w:sz w:val="20"/>
        </w:rPr>
        <w:t>a</w:t>
      </w:r>
      <w:r w:rsidR="000E5053" w:rsidRPr="00E8601E">
        <w:rPr>
          <w:rFonts w:ascii="Tahoma" w:hAnsi="Tahoma" w:cs="Tahoma"/>
          <w:sz w:val="20"/>
        </w:rPr>
        <w:t xml:space="preserve"> sua aprovação</w:t>
      </w:r>
      <w:r w:rsidR="009A70CF" w:rsidRPr="00E8601E">
        <w:rPr>
          <w:rFonts w:ascii="Tahoma" w:hAnsi="Tahoma" w:cs="Tahoma"/>
          <w:sz w:val="20"/>
        </w:rPr>
        <w:t>.</w:t>
      </w:r>
    </w:p>
    <w:p w:rsidR="00F36301" w:rsidRPr="00E8601E" w:rsidRDefault="00F36301" w:rsidP="00E26AA2">
      <w:pPr>
        <w:spacing w:after="120"/>
        <w:jc w:val="both"/>
        <w:rPr>
          <w:rFonts w:ascii="Tahoma" w:hAnsi="Tahoma" w:cs="Tahoma"/>
          <w:sz w:val="20"/>
        </w:rPr>
      </w:pPr>
    </w:p>
    <w:p w:rsidR="00F36301" w:rsidRPr="00E8601E" w:rsidRDefault="00F36301" w:rsidP="00E26AA2">
      <w:pPr>
        <w:spacing w:after="120"/>
        <w:jc w:val="both"/>
        <w:rPr>
          <w:rFonts w:ascii="Tahoma" w:hAnsi="Tahoma" w:cs="Tahoma"/>
          <w:sz w:val="20"/>
        </w:rPr>
      </w:pPr>
      <w:r w:rsidRPr="00E8601E">
        <w:rPr>
          <w:rFonts w:ascii="Tahoma" w:hAnsi="Tahoma" w:cs="Tahoma"/>
          <w:sz w:val="20"/>
        </w:rPr>
        <w:t>É parte integrante desta Política de Investimentos cópia da Ata do comitê de investimentos, que aprova o presente instrumento, devidamente assinada por seus membros.</w:t>
      </w:r>
    </w:p>
    <w:p w:rsidR="009A70CF" w:rsidRPr="00E8601E" w:rsidRDefault="009A70CF" w:rsidP="00E26AA2">
      <w:pPr>
        <w:spacing w:after="120"/>
        <w:jc w:val="both"/>
        <w:rPr>
          <w:rFonts w:ascii="Tahoma" w:hAnsi="Tahoma" w:cs="Tahoma"/>
          <w:sz w:val="20"/>
        </w:rPr>
      </w:pPr>
    </w:p>
    <w:p w:rsidR="00BE3AAE" w:rsidRDefault="00344EA0" w:rsidP="00E26AA2">
      <w:pPr>
        <w:spacing w:after="120"/>
        <w:jc w:val="both"/>
        <w:rPr>
          <w:rFonts w:ascii="Tahoma" w:hAnsi="Tahoma" w:cs="Tahoma"/>
          <w:sz w:val="20"/>
        </w:rPr>
      </w:pPr>
      <w:r w:rsidRPr="00344EA0">
        <w:rPr>
          <w:rFonts w:ascii="Tahoma" w:hAnsi="Tahoma" w:cs="Tahoma"/>
          <w:sz w:val="20"/>
        </w:rPr>
        <w:t>O</w:t>
      </w:r>
      <w:r w:rsidR="005A3F68" w:rsidRPr="0081285E">
        <w:rPr>
          <w:rFonts w:ascii="Tahoma" w:hAnsi="Tahoma" w:cs="Tahoma"/>
          <w:b/>
          <w:sz w:val="20"/>
        </w:rPr>
        <w:t>CONSELHO MUNICIPAL DE PREVIDÊNCIA – CMP</w:t>
      </w:r>
      <w:r w:rsidR="00BE3AAE" w:rsidRPr="00E8601E">
        <w:rPr>
          <w:rFonts w:ascii="Tahoma" w:hAnsi="Tahoma" w:cs="Tahoma"/>
          <w:sz w:val="20"/>
        </w:rPr>
        <w:t xml:space="preserve">, no uso das atribuições que lhe são conferidas pelo </w:t>
      </w:r>
      <w:r w:rsidR="005A3F68" w:rsidRPr="009A5912">
        <w:rPr>
          <w:rFonts w:ascii="Tahoma" w:hAnsi="Tahoma" w:cs="Tahoma"/>
          <w:sz w:val="20"/>
        </w:rPr>
        <w:t>art. 27 da Lei nº 769, de 33 de outubro de 2007</w:t>
      </w:r>
      <w:r w:rsidR="00BE3AAE" w:rsidRPr="00E8601E">
        <w:rPr>
          <w:rFonts w:ascii="Tahoma" w:hAnsi="Tahoma" w:cs="Tahoma"/>
          <w:sz w:val="20"/>
        </w:rPr>
        <w:t xml:space="preserve">, torna público que, em sessão realizada em </w:t>
      </w:r>
      <w:r w:rsidR="00BA71E9">
        <w:rPr>
          <w:rFonts w:ascii="Tahoma" w:hAnsi="Tahoma" w:cs="Tahoma"/>
          <w:sz w:val="20"/>
          <w:highlight w:val="yellow"/>
        </w:rPr>
        <w:t>__</w:t>
      </w:r>
      <w:r w:rsidR="00F71564" w:rsidRPr="00A8544A">
        <w:rPr>
          <w:rFonts w:ascii="Tahoma" w:hAnsi="Tahoma" w:cs="Tahoma"/>
          <w:sz w:val="20"/>
          <w:highlight w:val="yellow"/>
        </w:rPr>
        <w:t xml:space="preserve"> de outubro de 201</w:t>
      </w:r>
      <w:r w:rsidR="00BA71E9">
        <w:rPr>
          <w:rFonts w:ascii="Tahoma" w:hAnsi="Tahoma" w:cs="Tahoma"/>
          <w:sz w:val="20"/>
        </w:rPr>
        <w:t>8</w:t>
      </w:r>
      <w:r w:rsidR="00BE3AAE" w:rsidRPr="00F71564">
        <w:rPr>
          <w:rFonts w:ascii="Tahoma" w:hAnsi="Tahoma" w:cs="Tahoma"/>
          <w:sz w:val="20"/>
        </w:rPr>
        <w:t>,</w:t>
      </w:r>
      <w:r w:rsidR="00BE3AAE" w:rsidRPr="00E8601E">
        <w:rPr>
          <w:rFonts w:ascii="Tahoma" w:hAnsi="Tahoma" w:cs="Tahoma"/>
          <w:sz w:val="20"/>
        </w:rPr>
        <w:t xml:space="preserve"> com base no </w:t>
      </w:r>
      <w:r w:rsidR="00C21909" w:rsidRPr="00581144">
        <w:rPr>
          <w:rFonts w:ascii="Tahoma" w:hAnsi="Tahoma" w:cs="Tahoma"/>
          <w:sz w:val="20"/>
        </w:rPr>
        <w:t>art. 4º Resolução CMN 3.922/2010 e com base nas alterações descritas na Resolução 4.604/2017</w:t>
      </w:r>
      <w:r w:rsidR="00BE3AAE" w:rsidRPr="00E8601E">
        <w:rPr>
          <w:rFonts w:ascii="Tahoma" w:hAnsi="Tahoma" w:cs="Tahoma"/>
          <w:sz w:val="20"/>
        </w:rPr>
        <w:t>, APROVA esta POLÍTICA DE INVESTIMENTOS referente ao EXERCÍCIO DE 201</w:t>
      </w:r>
      <w:r w:rsidR="00564AED">
        <w:rPr>
          <w:rFonts w:ascii="Tahoma" w:hAnsi="Tahoma" w:cs="Tahoma"/>
          <w:sz w:val="20"/>
        </w:rPr>
        <w:t>9</w:t>
      </w:r>
      <w:r w:rsidR="00BE3AAE" w:rsidRPr="00E8601E">
        <w:rPr>
          <w:rFonts w:ascii="Tahoma" w:hAnsi="Tahoma" w:cs="Tahoma"/>
          <w:sz w:val="20"/>
        </w:rPr>
        <w:t>.</w:t>
      </w:r>
    </w:p>
    <w:p w:rsidR="00564AED" w:rsidRPr="00E8601E" w:rsidRDefault="00564AED" w:rsidP="00E26AA2">
      <w:pPr>
        <w:spacing w:after="120"/>
        <w:jc w:val="both"/>
        <w:rPr>
          <w:rFonts w:ascii="Tahoma" w:hAnsi="Tahoma" w:cs="Tahoma"/>
          <w:sz w:val="20"/>
        </w:rPr>
      </w:pPr>
    </w:p>
    <w:p w:rsidR="000B62B3" w:rsidRPr="00E8601E" w:rsidRDefault="00D81FFF" w:rsidP="004A0B25">
      <w:pPr>
        <w:spacing w:after="120"/>
        <w:jc w:val="both"/>
        <w:rPr>
          <w:rFonts w:ascii="Tahoma" w:hAnsi="Tahoma" w:cs="Tahoma"/>
          <w:sz w:val="20"/>
        </w:rPr>
      </w:pPr>
      <w:r>
        <w:rPr>
          <w:rFonts w:ascii="Tahoma" w:hAnsi="Tahoma" w:cs="Tahoma"/>
          <w:sz w:val="20"/>
        </w:rPr>
        <w:t>_______________________</w:t>
      </w:r>
    </w:p>
    <w:p w:rsidR="00D81FFF" w:rsidRDefault="00D81FFF" w:rsidP="00D81FFF">
      <w:pPr>
        <w:spacing w:after="0"/>
        <w:jc w:val="both"/>
        <w:rPr>
          <w:rFonts w:ascii="Tahoma" w:hAnsi="Tahoma" w:cs="Tahoma"/>
          <w:sz w:val="18"/>
        </w:rPr>
      </w:pPr>
      <w:r w:rsidRPr="00E8601E">
        <w:rPr>
          <w:rFonts w:ascii="Tahoma" w:hAnsi="Tahoma" w:cs="Tahoma"/>
          <w:sz w:val="18"/>
        </w:rPr>
        <w:t>Profissional Certificado</w:t>
      </w:r>
    </w:p>
    <w:p w:rsidR="00D81FFF" w:rsidRPr="00564AED" w:rsidRDefault="005A3F68" w:rsidP="00D81FFF">
      <w:pPr>
        <w:spacing w:after="0"/>
        <w:jc w:val="both"/>
        <w:rPr>
          <w:rFonts w:ascii="Tahoma" w:hAnsi="Tahoma" w:cs="Tahoma"/>
          <w:b/>
          <w:sz w:val="18"/>
          <w:highlight w:val="yellow"/>
        </w:rPr>
      </w:pPr>
      <w:r w:rsidRPr="005A3F68">
        <w:rPr>
          <w:rFonts w:ascii="Tahoma" w:hAnsi="Tahoma" w:cs="Tahoma"/>
          <w:b/>
          <w:sz w:val="18"/>
        </w:rPr>
        <w:t>ELISANDRA NAZARI</w:t>
      </w:r>
    </w:p>
    <w:p w:rsidR="00D81FFF" w:rsidRPr="005A3F68" w:rsidRDefault="00F71564" w:rsidP="00D81FFF">
      <w:pPr>
        <w:spacing w:after="0"/>
        <w:jc w:val="both"/>
        <w:rPr>
          <w:rFonts w:ascii="Tahoma" w:hAnsi="Tahoma" w:cs="Tahoma"/>
          <w:b/>
          <w:sz w:val="18"/>
        </w:rPr>
      </w:pPr>
      <w:r w:rsidRPr="005A3F68">
        <w:rPr>
          <w:rFonts w:ascii="Tahoma" w:hAnsi="Tahoma" w:cs="Tahoma"/>
          <w:b/>
          <w:sz w:val="18"/>
        </w:rPr>
        <w:t xml:space="preserve">ANBIMA  </w:t>
      </w:r>
      <w:r w:rsidR="005A3F68" w:rsidRPr="005A3F68">
        <w:rPr>
          <w:rFonts w:ascii="Tahoma" w:hAnsi="Tahoma" w:cs="Tahoma"/>
          <w:b/>
          <w:sz w:val="18"/>
        </w:rPr>
        <w:t>30</w:t>
      </w:r>
      <w:r w:rsidRPr="005A3F68">
        <w:rPr>
          <w:rFonts w:ascii="Tahoma" w:hAnsi="Tahoma" w:cs="Tahoma"/>
          <w:b/>
          <w:sz w:val="18"/>
        </w:rPr>
        <w:t>/0</w:t>
      </w:r>
      <w:r w:rsidR="005A3F68" w:rsidRPr="005A3F68">
        <w:rPr>
          <w:rFonts w:ascii="Tahoma" w:hAnsi="Tahoma" w:cs="Tahoma"/>
          <w:b/>
          <w:sz w:val="18"/>
        </w:rPr>
        <w:t>8</w:t>
      </w:r>
      <w:r w:rsidRPr="005A3F68">
        <w:rPr>
          <w:rFonts w:ascii="Tahoma" w:hAnsi="Tahoma" w:cs="Tahoma"/>
          <w:b/>
          <w:sz w:val="18"/>
        </w:rPr>
        <w:t>/202</w:t>
      </w:r>
      <w:r w:rsidR="005A3F68" w:rsidRPr="005A3F68">
        <w:rPr>
          <w:rFonts w:ascii="Tahoma" w:hAnsi="Tahoma" w:cs="Tahoma"/>
          <w:b/>
          <w:sz w:val="18"/>
        </w:rPr>
        <w:t>1</w:t>
      </w:r>
    </w:p>
    <w:p w:rsidR="00D81FFF" w:rsidRPr="00E8601E" w:rsidRDefault="00D81FFF" w:rsidP="00D81FFF">
      <w:pPr>
        <w:spacing w:after="0"/>
        <w:jc w:val="both"/>
        <w:rPr>
          <w:rFonts w:ascii="Tahoma" w:hAnsi="Tahoma" w:cs="Tahoma"/>
          <w:sz w:val="16"/>
        </w:rPr>
      </w:pPr>
      <w:r w:rsidRPr="005A3F68">
        <w:rPr>
          <w:rFonts w:ascii="Tahoma" w:hAnsi="Tahoma" w:cs="Tahoma"/>
          <w:sz w:val="16"/>
        </w:rPr>
        <w:t>Conforme Portaria MPS 440/2013</w:t>
      </w:r>
    </w:p>
    <w:p w:rsidR="00795178" w:rsidRDefault="00795178" w:rsidP="004A0B25">
      <w:pPr>
        <w:spacing w:after="120"/>
        <w:jc w:val="both"/>
        <w:rPr>
          <w:rFonts w:ascii="Tahoma" w:hAnsi="Tahoma" w:cs="Tahoma"/>
          <w:sz w:val="20"/>
        </w:rPr>
      </w:pPr>
    </w:p>
    <w:p w:rsidR="003B3510" w:rsidRPr="00E8601E" w:rsidRDefault="003B3510" w:rsidP="004A0B25">
      <w:pPr>
        <w:spacing w:after="120"/>
        <w:jc w:val="both"/>
        <w:rPr>
          <w:rFonts w:ascii="Tahoma" w:hAnsi="Tahoma" w:cs="Tahoma"/>
          <w:sz w:val="20"/>
        </w:rPr>
      </w:pPr>
    </w:p>
    <w:p w:rsidR="005A3F68" w:rsidRPr="005A3F68" w:rsidRDefault="005A3F68" w:rsidP="005A3F68">
      <w:pPr>
        <w:rPr>
          <w:rFonts w:ascii="Tahoma" w:hAnsi="Tahoma" w:cs="Tahoma"/>
          <w:b/>
          <w:sz w:val="18"/>
        </w:rPr>
      </w:pPr>
      <w:r w:rsidRPr="005A3F68">
        <w:rPr>
          <w:rFonts w:ascii="Tahoma" w:hAnsi="Tahoma" w:cs="Tahoma"/>
          <w:b/>
          <w:sz w:val="18"/>
        </w:rPr>
        <w:t>Membros Do Comitê De Investimentos</w:t>
      </w:r>
      <w:r w:rsidRPr="005A3F68">
        <w:rPr>
          <w:rFonts w:ascii="Tahoma" w:hAnsi="Tahoma" w:cs="Tahoma"/>
          <w:b/>
          <w:sz w:val="18"/>
        </w:rPr>
        <w:tab/>
      </w:r>
      <w:r w:rsidRPr="005A3F68">
        <w:rPr>
          <w:rFonts w:ascii="Tahoma" w:hAnsi="Tahoma" w:cs="Tahoma"/>
          <w:b/>
          <w:sz w:val="18"/>
        </w:rPr>
        <w:tab/>
        <w:t xml:space="preserve">Membros Do Conselho Municipal </w:t>
      </w:r>
    </w:p>
    <w:p w:rsidR="003B3510" w:rsidRPr="005A3F68" w:rsidRDefault="003B3510" w:rsidP="004A0B25">
      <w:pPr>
        <w:spacing w:after="120"/>
        <w:jc w:val="both"/>
        <w:rPr>
          <w:rFonts w:ascii="Tahoma" w:hAnsi="Tahoma" w:cs="Tahoma"/>
          <w:sz w:val="18"/>
        </w:rPr>
      </w:pPr>
      <w:r w:rsidRPr="005A3F68">
        <w:rPr>
          <w:rFonts w:ascii="Tahoma" w:hAnsi="Tahoma" w:cs="Tahoma"/>
          <w:sz w:val="18"/>
        </w:rPr>
        <w:tab/>
      </w:r>
    </w:p>
    <w:p w:rsidR="005A3F68" w:rsidRDefault="005A3F68" w:rsidP="00D81FFF">
      <w:pPr>
        <w:spacing w:after="120"/>
        <w:jc w:val="both"/>
        <w:rPr>
          <w:rFonts w:ascii="Tahoma" w:hAnsi="Tahoma" w:cs="Tahoma"/>
          <w:sz w:val="18"/>
        </w:rPr>
      </w:pPr>
    </w:p>
    <w:p w:rsidR="005A3F68" w:rsidRPr="00D81FFF" w:rsidRDefault="005A3F68" w:rsidP="005A3F68">
      <w:pPr>
        <w:spacing w:after="120"/>
        <w:jc w:val="both"/>
        <w:rPr>
          <w:rFonts w:ascii="Tahoma" w:hAnsi="Tahoma" w:cs="Tahoma"/>
          <w:sz w:val="18"/>
        </w:rPr>
      </w:pPr>
      <w:r w:rsidRPr="005A3F68">
        <w:rPr>
          <w:rFonts w:ascii="Tahoma" w:hAnsi="Tahoma" w:cs="Tahoma"/>
          <w:sz w:val="18"/>
        </w:rPr>
        <w:t>EDI SALETE ANTUNES PINTO</w:t>
      </w:r>
      <w:r>
        <w:rPr>
          <w:rFonts w:ascii="Tahoma" w:hAnsi="Tahoma" w:cs="Tahoma"/>
          <w:sz w:val="18"/>
        </w:rPr>
        <w:tab/>
      </w:r>
      <w:r>
        <w:rPr>
          <w:rFonts w:ascii="Tahoma" w:hAnsi="Tahoma" w:cs="Tahoma"/>
          <w:sz w:val="18"/>
        </w:rPr>
        <w:tab/>
      </w:r>
      <w:r>
        <w:rPr>
          <w:rFonts w:ascii="Tahoma" w:hAnsi="Tahoma" w:cs="Tahoma"/>
          <w:sz w:val="18"/>
        </w:rPr>
        <w:tab/>
      </w:r>
      <w:r w:rsidRPr="005A3F68">
        <w:rPr>
          <w:rFonts w:ascii="Tahoma" w:hAnsi="Tahoma" w:cs="Tahoma"/>
          <w:sz w:val="18"/>
        </w:rPr>
        <w:t>FATIMA APARECIDA DA LUZ</w:t>
      </w:r>
    </w:p>
    <w:p w:rsidR="005A3F68" w:rsidRDefault="005A3F68" w:rsidP="00564AED">
      <w:pPr>
        <w:spacing w:after="120"/>
        <w:jc w:val="both"/>
        <w:rPr>
          <w:rFonts w:ascii="Tahoma" w:hAnsi="Tahoma" w:cs="Tahoma"/>
          <w:sz w:val="18"/>
        </w:rPr>
      </w:pPr>
    </w:p>
    <w:p w:rsidR="005A3F68" w:rsidRDefault="005A3F68" w:rsidP="00564AED">
      <w:pPr>
        <w:spacing w:after="120"/>
        <w:jc w:val="both"/>
        <w:rPr>
          <w:rFonts w:ascii="Tahoma" w:hAnsi="Tahoma" w:cs="Tahoma"/>
          <w:sz w:val="18"/>
        </w:rPr>
      </w:pPr>
    </w:p>
    <w:p w:rsidR="005A3F68" w:rsidRPr="005A3F68" w:rsidRDefault="005A3F68" w:rsidP="00564AED">
      <w:pPr>
        <w:spacing w:after="120"/>
        <w:jc w:val="both"/>
        <w:rPr>
          <w:rFonts w:ascii="Tahoma" w:hAnsi="Tahoma" w:cs="Tahoma"/>
          <w:sz w:val="18"/>
        </w:rPr>
      </w:pPr>
      <w:r w:rsidRPr="005A3F68">
        <w:rPr>
          <w:rFonts w:ascii="Tahoma" w:hAnsi="Tahoma" w:cs="Tahoma"/>
          <w:sz w:val="18"/>
        </w:rPr>
        <w:t>FATIMA APARECIDA DA LUZ</w:t>
      </w:r>
      <w:r>
        <w:rPr>
          <w:rFonts w:ascii="Tahoma" w:hAnsi="Tahoma" w:cs="Tahoma"/>
          <w:sz w:val="18"/>
        </w:rPr>
        <w:tab/>
      </w:r>
      <w:r>
        <w:rPr>
          <w:rFonts w:ascii="Tahoma" w:hAnsi="Tahoma" w:cs="Tahoma"/>
          <w:sz w:val="18"/>
        </w:rPr>
        <w:tab/>
      </w:r>
      <w:r>
        <w:rPr>
          <w:rFonts w:ascii="Tahoma" w:hAnsi="Tahoma" w:cs="Tahoma"/>
          <w:sz w:val="18"/>
        </w:rPr>
        <w:tab/>
      </w:r>
      <w:r w:rsidRPr="005A3F68">
        <w:rPr>
          <w:rFonts w:ascii="Tahoma" w:hAnsi="Tahoma" w:cs="Tahoma"/>
          <w:sz w:val="18"/>
        </w:rPr>
        <w:t>DANIEL BILINI</w:t>
      </w:r>
    </w:p>
    <w:p w:rsidR="005A3F68" w:rsidRDefault="005A3F68" w:rsidP="00564AED">
      <w:pPr>
        <w:spacing w:after="120"/>
        <w:jc w:val="both"/>
        <w:rPr>
          <w:rFonts w:ascii="Tahoma" w:hAnsi="Tahoma" w:cs="Tahoma"/>
          <w:sz w:val="18"/>
        </w:rPr>
      </w:pPr>
    </w:p>
    <w:p w:rsidR="005A3F68" w:rsidRDefault="005A3F68" w:rsidP="00564AED">
      <w:pPr>
        <w:spacing w:after="120"/>
        <w:jc w:val="both"/>
        <w:rPr>
          <w:rFonts w:ascii="Tahoma" w:hAnsi="Tahoma" w:cs="Tahoma"/>
          <w:sz w:val="18"/>
        </w:rPr>
      </w:pPr>
    </w:p>
    <w:p w:rsidR="00564AED" w:rsidRPr="00D81FFF" w:rsidRDefault="005A3F68" w:rsidP="00564AED">
      <w:pPr>
        <w:spacing w:after="120"/>
        <w:jc w:val="both"/>
        <w:rPr>
          <w:rFonts w:ascii="Tahoma" w:hAnsi="Tahoma" w:cs="Tahoma"/>
          <w:sz w:val="18"/>
        </w:rPr>
      </w:pPr>
      <w:r w:rsidRPr="005A3F68">
        <w:rPr>
          <w:rFonts w:ascii="Tahoma" w:hAnsi="Tahoma" w:cs="Tahoma"/>
          <w:sz w:val="18"/>
        </w:rPr>
        <w:t>IDONEZ ROBERTO PICCOLI</w:t>
      </w:r>
      <w:r>
        <w:rPr>
          <w:rFonts w:ascii="Tahoma" w:hAnsi="Tahoma" w:cs="Tahoma"/>
          <w:sz w:val="18"/>
        </w:rPr>
        <w:tab/>
      </w:r>
      <w:r>
        <w:rPr>
          <w:rFonts w:ascii="Tahoma" w:hAnsi="Tahoma" w:cs="Tahoma"/>
          <w:sz w:val="18"/>
        </w:rPr>
        <w:tab/>
      </w:r>
      <w:r>
        <w:rPr>
          <w:rFonts w:ascii="Tahoma" w:hAnsi="Tahoma" w:cs="Tahoma"/>
          <w:sz w:val="18"/>
        </w:rPr>
        <w:tab/>
      </w:r>
      <w:r w:rsidRPr="005A3F68">
        <w:rPr>
          <w:rFonts w:ascii="Tahoma" w:hAnsi="Tahoma" w:cs="Tahoma"/>
          <w:sz w:val="18"/>
        </w:rPr>
        <w:t>ELAINE TEREZINHA RIVA</w:t>
      </w:r>
    </w:p>
    <w:p w:rsidR="005A3F68" w:rsidRDefault="005A3F68" w:rsidP="00564AED">
      <w:pPr>
        <w:spacing w:after="120"/>
        <w:jc w:val="both"/>
        <w:rPr>
          <w:rFonts w:ascii="Tahoma" w:hAnsi="Tahoma" w:cs="Tahoma"/>
          <w:sz w:val="18"/>
        </w:rPr>
      </w:pPr>
    </w:p>
    <w:p w:rsidR="005A3F68" w:rsidRDefault="005A3F68" w:rsidP="00564AED">
      <w:pPr>
        <w:spacing w:after="120"/>
        <w:jc w:val="both"/>
        <w:rPr>
          <w:rFonts w:ascii="Tahoma" w:hAnsi="Tahoma" w:cs="Tahoma"/>
          <w:sz w:val="18"/>
        </w:rPr>
      </w:pPr>
    </w:p>
    <w:p w:rsidR="00564AED" w:rsidRPr="005A3F68" w:rsidRDefault="005A3F68" w:rsidP="00564AED">
      <w:pPr>
        <w:spacing w:after="120"/>
        <w:jc w:val="both"/>
        <w:rPr>
          <w:rFonts w:ascii="Tahoma" w:hAnsi="Tahoma" w:cs="Tahoma"/>
          <w:sz w:val="18"/>
        </w:rPr>
      </w:pPr>
      <w:r w:rsidRPr="005A3F68">
        <w:rPr>
          <w:rFonts w:ascii="Tahoma" w:hAnsi="Tahoma" w:cs="Tahoma"/>
          <w:sz w:val="18"/>
        </w:rPr>
        <w:t>DANIEL BILINI</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Pr="005A3F68">
        <w:rPr>
          <w:rFonts w:ascii="Tahoma" w:hAnsi="Tahoma" w:cs="Tahoma"/>
          <w:sz w:val="18"/>
        </w:rPr>
        <w:t>ELISANDRA NAZARI</w:t>
      </w:r>
    </w:p>
    <w:p w:rsidR="005A3F68" w:rsidRDefault="005A3F68" w:rsidP="00564AED">
      <w:pPr>
        <w:spacing w:after="120"/>
        <w:jc w:val="both"/>
        <w:rPr>
          <w:rFonts w:ascii="Tahoma" w:hAnsi="Tahoma" w:cs="Tahoma"/>
          <w:sz w:val="18"/>
        </w:rPr>
      </w:pPr>
    </w:p>
    <w:p w:rsidR="005A3F68" w:rsidRDefault="005A3F68" w:rsidP="00564AED">
      <w:pPr>
        <w:spacing w:after="120"/>
        <w:jc w:val="both"/>
        <w:rPr>
          <w:rFonts w:ascii="Tahoma" w:hAnsi="Tahoma" w:cs="Tahoma"/>
          <w:sz w:val="18"/>
        </w:rPr>
      </w:pPr>
    </w:p>
    <w:p w:rsidR="005A3F68" w:rsidRDefault="005A3F68" w:rsidP="005A3F68">
      <w:pPr>
        <w:spacing w:after="120"/>
        <w:jc w:val="both"/>
        <w:rPr>
          <w:rFonts w:ascii="Tahoma" w:hAnsi="Tahoma" w:cs="Tahoma"/>
          <w:sz w:val="18"/>
        </w:rPr>
      </w:pPr>
      <w:r w:rsidRPr="005A3F68">
        <w:rPr>
          <w:rFonts w:ascii="Tahoma" w:hAnsi="Tahoma" w:cs="Tahoma"/>
          <w:sz w:val="18"/>
        </w:rPr>
        <w:t>ELISANDRA NAZARI</w:t>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Pr="005A3F68">
        <w:rPr>
          <w:rFonts w:ascii="Tahoma" w:hAnsi="Tahoma" w:cs="Tahoma"/>
          <w:sz w:val="18"/>
        </w:rPr>
        <w:t>CLAIR K BATISTA</w:t>
      </w:r>
    </w:p>
    <w:p w:rsidR="005A3F68" w:rsidRDefault="005A3F68" w:rsidP="005A3F68">
      <w:pPr>
        <w:spacing w:after="120"/>
        <w:jc w:val="both"/>
        <w:rPr>
          <w:rFonts w:ascii="Tahoma" w:hAnsi="Tahoma" w:cs="Tahoma"/>
          <w:sz w:val="18"/>
        </w:rPr>
      </w:pPr>
    </w:p>
    <w:p w:rsidR="005A3F68" w:rsidRDefault="005A3F68" w:rsidP="005A3F68">
      <w:pPr>
        <w:spacing w:after="120"/>
        <w:jc w:val="both"/>
        <w:rPr>
          <w:rFonts w:ascii="Tahoma" w:hAnsi="Tahoma" w:cs="Tahoma"/>
          <w:sz w:val="18"/>
        </w:rPr>
      </w:pPr>
    </w:p>
    <w:p w:rsidR="005A3F68" w:rsidRPr="00D81FFF" w:rsidRDefault="005A3F68" w:rsidP="005A3F68">
      <w:pPr>
        <w:spacing w:after="120"/>
        <w:jc w:val="both"/>
        <w:rPr>
          <w:rFonts w:ascii="Tahoma" w:hAnsi="Tahoma" w:cs="Tahoma"/>
          <w:sz w:val="18"/>
        </w:rPr>
      </w:pP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Pr>
          <w:rFonts w:ascii="Tahoma" w:hAnsi="Tahoma" w:cs="Tahoma"/>
          <w:sz w:val="18"/>
        </w:rPr>
        <w:tab/>
      </w:r>
      <w:r w:rsidRPr="005A3F68">
        <w:rPr>
          <w:rFonts w:ascii="Tahoma" w:hAnsi="Tahoma" w:cs="Tahoma"/>
          <w:sz w:val="18"/>
        </w:rPr>
        <w:t>EDI SALETE ANTUNES PINTO</w:t>
      </w:r>
    </w:p>
    <w:p w:rsidR="005A3F68" w:rsidRPr="005A3F68" w:rsidRDefault="005A3F68" w:rsidP="005A3F68">
      <w:pPr>
        <w:spacing w:after="120"/>
        <w:jc w:val="both"/>
        <w:rPr>
          <w:rFonts w:ascii="Tahoma" w:hAnsi="Tahoma" w:cs="Tahoma"/>
          <w:sz w:val="18"/>
        </w:rPr>
      </w:pPr>
    </w:p>
    <w:p w:rsidR="005A3F68" w:rsidRPr="00D81FFF" w:rsidRDefault="005A3F68" w:rsidP="00564AED">
      <w:pPr>
        <w:spacing w:after="120"/>
        <w:jc w:val="both"/>
        <w:rPr>
          <w:rFonts w:ascii="Tahoma" w:hAnsi="Tahoma" w:cs="Tahoma"/>
          <w:sz w:val="18"/>
        </w:rPr>
      </w:pPr>
    </w:p>
    <w:p w:rsidR="00D81FFF" w:rsidRDefault="00D81FFF" w:rsidP="00D81FFF">
      <w:pPr>
        <w:spacing w:after="120"/>
        <w:jc w:val="both"/>
        <w:rPr>
          <w:rFonts w:ascii="Tahoma" w:hAnsi="Tahoma" w:cs="Tahoma"/>
          <w:sz w:val="18"/>
        </w:rPr>
      </w:pPr>
    </w:p>
    <w:p w:rsidR="00D81FFF" w:rsidRPr="00E8601E" w:rsidRDefault="00D81FFF" w:rsidP="00D81FFF">
      <w:pPr>
        <w:spacing w:after="120"/>
        <w:jc w:val="both"/>
        <w:rPr>
          <w:rFonts w:ascii="Tahoma" w:hAnsi="Tahoma" w:cs="Tahoma"/>
          <w:sz w:val="18"/>
        </w:rPr>
      </w:pPr>
    </w:p>
    <w:p w:rsidR="00D81FFF" w:rsidRPr="00D81FFF" w:rsidRDefault="00D81FFF" w:rsidP="00D81FFF">
      <w:pPr>
        <w:rPr>
          <w:rFonts w:ascii="Tahoma" w:hAnsi="Tahoma" w:cs="Tahoma"/>
          <w:sz w:val="18"/>
        </w:rPr>
      </w:pPr>
    </w:p>
    <w:p w:rsidR="00795178" w:rsidRDefault="00795178" w:rsidP="00D81FFF">
      <w:pPr>
        <w:rPr>
          <w:rFonts w:ascii="Tahoma" w:hAnsi="Tahoma" w:cs="Tahoma"/>
          <w:sz w:val="18"/>
        </w:rPr>
      </w:pPr>
    </w:p>
    <w:p w:rsidR="00D867EC" w:rsidRPr="005A3F68" w:rsidRDefault="00D867EC" w:rsidP="005A3F68">
      <w:pPr>
        <w:jc w:val="center"/>
        <w:rPr>
          <w:b/>
          <w:sz w:val="36"/>
        </w:rPr>
      </w:pPr>
      <w:r w:rsidRPr="00E8601E">
        <w:rPr>
          <w:rFonts w:ascii="Tahoma" w:hAnsi="Tahoma" w:cs="Tahoma"/>
          <w:sz w:val="18"/>
        </w:rPr>
        <w:br w:type="page"/>
      </w:r>
      <w:bookmarkStart w:id="68" w:name="_Toc481564705"/>
      <w:bookmarkStart w:id="69" w:name="_Toc496874726"/>
      <w:r w:rsidRPr="005A3F68">
        <w:rPr>
          <w:b/>
          <w:sz w:val="36"/>
        </w:rPr>
        <w:lastRenderedPageBreak/>
        <w:t>ANEXO I</w:t>
      </w:r>
      <w:bookmarkEnd w:id="68"/>
      <w:bookmarkEnd w:id="69"/>
    </w:p>
    <w:p w:rsidR="00D867EC" w:rsidRPr="005C6211" w:rsidRDefault="005A3F68" w:rsidP="005A3F68">
      <w:pPr>
        <w:spacing w:after="120"/>
        <w:jc w:val="center"/>
        <w:rPr>
          <w:rFonts w:ascii="Tahoma" w:hAnsi="Tahoma" w:cs="Tahoma"/>
          <w:sz w:val="10"/>
        </w:rPr>
      </w:pPr>
      <w:r w:rsidRPr="005A3F68">
        <w:rPr>
          <w:noProof/>
        </w:rPr>
        <w:drawing>
          <wp:inline distT="0" distB="0" distL="0" distR="0">
            <wp:extent cx="6741321" cy="3430531"/>
            <wp:effectExtent l="0" t="1905" r="635" b="63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6764517" cy="3442335"/>
                    </a:xfrm>
                    <a:prstGeom prst="rect">
                      <a:avLst/>
                    </a:prstGeom>
                    <a:noFill/>
                    <a:ln>
                      <a:noFill/>
                    </a:ln>
                  </pic:spPr>
                </pic:pic>
              </a:graphicData>
            </a:graphic>
          </wp:inline>
        </w:drawing>
      </w:r>
    </w:p>
    <w:p w:rsidR="00D867EC" w:rsidRPr="003B3510" w:rsidRDefault="00D867EC" w:rsidP="00D867EC">
      <w:pPr>
        <w:spacing w:after="120"/>
        <w:jc w:val="center"/>
        <w:rPr>
          <w:rFonts w:ascii="Tahoma" w:hAnsi="Tahoma" w:cs="Tahoma"/>
          <w:sz w:val="20"/>
        </w:rPr>
      </w:pPr>
    </w:p>
    <w:sectPr w:rsidR="00D867EC" w:rsidRPr="003B3510" w:rsidSect="00C44074">
      <w:footerReference w:type="default" r:id="rId38"/>
      <w:pgSz w:w="11906" w:h="16838"/>
      <w:pgMar w:top="1701" w:right="155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3E9" w:rsidRDefault="00D223E9" w:rsidP="00D87192">
      <w:pPr>
        <w:spacing w:after="0" w:line="240" w:lineRule="auto"/>
      </w:pPr>
      <w:r>
        <w:separator/>
      </w:r>
    </w:p>
    <w:p w:rsidR="00D223E9" w:rsidRDefault="00D223E9"/>
    <w:p w:rsidR="00D223E9" w:rsidRDefault="00D223E9" w:rsidP="006F780A"/>
    <w:p w:rsidR="00D223E9" w:rsidRDefault="00D223E9" w:rsidP="006F780A"/>
  </w:endnote>
  <w:endnote w:type="continuationSeparator" w:id="1">
    <w:p w:rsidR="00D223E9" w:rsidRDefault="00D223E9" w:rsidP="00D87192">
      <w:pPr>
        <w:spacing w:after="0" w:line="240" w:lineRule="auto"/>
      </w:pPr>
      <w:r>
        <w:continuationSeparator/>
      </w:r>
    </w:p>
    <w:p w:rsidR="00D223E9" w:rsidRDefault="00D223E9"/>
    <w:p w:rsidR="00D223E9" w:rsidRDefault="00D223E9" w:rsidP="006F780A"/>
    <w:p w:rsidR="00D223E9" w:rsidRDefault="00D223E9" w:rsidP="006F780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12" w:rsidRPr="00B96866" w:rsidRDefault="00C5789C">
    <w:pPr>
      <w:pStyle w:val="Rodap"/>
      <w:jc w:val="right"/>
      <w:rPr>
        <w:color w:val="808080" w:themeColor="background1" w:themeShade="80"/>
        <w:sz w:val="16"/>
        <w:szCs w:val="16"/>
      </w:rPr>
    </w:pPr>
    <w:sdt>
      <w:sdtPr>
        <w:id w:val="-705101851"/>
        <w:docPartObj>
          <w:docPartGallery w:val="Page Numbers (Bottom of Page)"/>
          <w:docPartUnique/>
        </w:docPartObj>
      </w:sdtPr>
      <w:sdtEndPr>
        <w:rPr>
          <w:rFonts w:ascii="Tahoma" w:hAnsi="Tahoma" w:cs="Tahoma"/>
          <w:color w:val="808080" w:themeColor="background1" w:themeShade="80"/>
          <w:sz w:val="16"/>
          <w:szCs w:val="16"/>
        </w:rPr>
      </w:sdtEndPr>
      <w:sdtContent>
        <w:r w:rsidRPr="00B96866">
          <w:rPr>
            <w:rFonts w:ascii="Tahoma" w:hAnsi="Tahoma" w:cs="Tahoma"/>
            <w:color w:val="808080" w:themeColor="background1" w:themeShade="80"/>
            <w:sz w:val="16"/>
            <w:szCs w:val="16"/>
          </w:rPr>
          <w:fldChar w:fldCharType="begin"/>
        </w:r>
        <w:r w:rsidR="009A5912" w:rsidRPr="00B96866">
          <w:rPr>
            <w:rFonts w:ascii="Tahoma" w:hAnsi="Tahoma" w:cs="Tahoma"/>
            <w:color w:val="808080" w:themeColor="background1" w:themeShade="80"/>
            <w:sz w:val="16"/>
            <w:szCs w:val="16"/>
          </w:rPr>
          <w:instrText xml:space="preserve"> PAGE   \* MERGEFORMAT </w:instrText>
        </w:r>
        <w:r w:rsidRPr="00B96866">
          <w:rPr>
            <w:rFonts w:ascii="Tahoma" w:hAnsi="Tahoma" w:cs="Tahoma"/>
            <w:color w:val="808080" w:themeColor="background1" w:themeShade="80"/>
            <w:sz w:val="16"/>
            <w:szCs w:val="16"/>
          </w:rPr>
          <w:fldChar w:fldCharType="separate"/>
        </w:r>
        <w:r w:rsidR="006F6E46">
          <w:rPr>
            <w:rFonts w:ascii="Tahoma" w:hAnsi="Tahoma" w:cs="Tahoma"/>
            <w:noProof/>
            <w:color w:val="808080" w:themeColor="background1" w:themeShade="80"/>
            <w:sz w:val="16"/>
            <w:szCs w:val="16"/>
          </w:rPr>
          <w:t>36</w:t>
        </w:r>
        <w:r w:rsidRPr="00B96866">
          <w:rPr>
            <w:rFonts w:ascii="Tahoma" w:hAnsi="Tahoma" w:cs="Tahoma"/>
            <w:color w:val="808080" w:themeColor="background1" w:themeShade="80"/>
            <w:sz w:val="16"/>
            <w:szCs w:val="16"/>
          </w:rPr>
          <w:fldChar w:fldCharType="end"/>
        </w:r>
      </w:sdtContent>
    </w:sdt>
  </w:p>
  <w:p w:rsidR="009A5912" w:rsidRDefault="009A5912">
    <w:pPr>
      <w:pStyle w:val="Rodap"/>
    </w:pPr>
  </w:p>
  <w:p w:rsidR="009A5912" w:rsidRDefault="009A5912" w:rsidP="006F78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3E9" w:rsidRDefault="00D223E9" w:rsidP="00D87192">
      <w:pPr>
        <w:spacing w:after="0" w:line="240" w:lineRule="auto"/>
      </w:pPr>
      <w:r>
        <w:separator/>
      </w:r>
    </w:p>
    <w:p w:rsidR="00D223E9" w:rsidRDefault="00D223E9"/>
    <w:p w:rsidR="00D223E9" w:rsidRDefault="00D223E9" w:rsidP="006F780A"/>
    <w:p w:rsidR="00D223E9" w:rsidRDefault="00D223E9" w:rsidP="006F780A"/>
  </w:footnote>
  <w:footnote w:type="continuationSeparator" w:id="1">
    <w:p w:rsidR="00D223E9" w:rsidRDefault="00D223E9" w:rsidP="00D87192">
      <w:pPr>
        <w:spacing w:after="0" w:line="240" w:lineRule="auto"/>
      </w:pPr>
      <w:r>
        <w:continuationSeparator/>
      </w:r>
    </w:p>
    <w:p w:rsidR="00D223E9" w:rsidRDefault="00D223E9"/>
    <w:p w:rsidR="00D223E9" w:rsidRDefault="00D223E9" w:rsidP="006F780A"/>
    <w:p w:rsidR="00D223E9" w:rsidRDefault="00D223E9" w:rsidP="006F780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D1F07"/>
    <w:multiLevelType w:val="hybridMultilevel"/>
    <w:tmpl w:val="2ADA4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91554A8"/>
    <w:multiLevelType w:val="hybridMultilevel"/>
    <w:tmpl w:val="CD2223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A87584E"/>
    <w:multiLevelType w:val="hybridMultilevel"/>
    <w:tmpl w:val="DE64652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DBF5DE5"/>
    <w:multiLevelType w:val="hybridMultilevel"/>
    <w:tmpl w:val="E014F7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6065FB2"/>
    <w:multiLevelType w:val="hybridMultilevel"/>
    <w:tmpl w:val="F3D25D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B2C36E6"/>
    <w:multiLevelType w:val="hybridMultilevel"/>
    <w:tmpl w:val="A7781A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DFB7767"/>
    <w:multiLevelType w:val="hybridMultilevel"/>
    <w:tmpl w:val="D416DDB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1701ADA"/>
    <w:multiLevelType w:val="hybridMultilevel"/>
    <w:tmpl w:val="74B24418"/>
    <w:lvl w:ilvl="0" w:tplc="DDAC92BE">
      <w:start w:val="1"/>
      <w:numFmt w:val="lowerLetter"/>
      <w:lvlText w:val="%1)"/>
      <w:lvlJc w:val="left"/>
      <w:pPr>
        <w:ind w:left="720" w:hanging="360"/>
      </w:pPr>
      <w:rPr>
        <w:rFonts w:ascii="Tahoma" w:eastAsiaTheme="minorEastAsia" w:hAnsi="Tahoma" w:cs="Tahom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5341CBE"/>
    <w:multiLevelType w:val="hybridMultilevel"/>
    <w:tmpl w:val="873C72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FC9251B"/>
    <w:multiLevelType w:val="hybridMultilevel"/>
    <w:tmpl w:val="08F6360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4"/>
  </w:num>
  <w:num w:numId="6">
    <w:abstractNumId w:val="7"/>
  </w:num>
  <w:num w:numId="7">
    <w:abstractNumId w:val="3"/>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336AA3"/>
    <w:rsid w:val="00000037"/>
    <w:rsid w:val="00003349"/>
    <w:rsid w:val="000059E4"/>
    <w:rsid w:val="00007735"/>
    <w:rsid w:val="00007A78"/>
    <w:rsid w:val="00010BE1"/>
    <w:rsid w:val="0001182B"/>
    <w:rsid w:val="00013FE2"/>
    <w:rsid w:val="00015756"/>
    <w:rsid w:val="00016059"/>
    <w:rsid w:val="00017AA9"/>
    <w:rsid w:val="00021FFF"/>
    <w:rsid w:val="000303D7"/>
    <w:rsid w:val="00031735"/>
    <w:rsid w:val="00032B7E"/>
    <w:rsid w:val="00033A82"/>
    <w:rsid w:val="00033A9C"/>
    <w:rsid w:val="00034D2C"/>
    <w:rsid w:val="00040275"/>
    <w:rsid w:val="00043F31"/>
    <w:rsid w:val="00047314"/>
    <w:rsid w:val="00051B41"/>
    <w:rsid w:val="00054F61"/>
    <w:rsid w:val="0005510D"/>
    <w:rsid w:val="00055F30"/>
    <w:rsid w:val="00057478"/>
    <w:rsid w:val="0005750A"/>
    <w:rsid w:val="000625EE"/>
    <w:rsid w:val="00066075"/>
    <w:rsid w:val="000660AB"/>
    <w:rsid w:val="00066352"/>
    <w:rsid w:val="0006761C"/>
    <w:rsid w:val="00075082"/>
    <w:rsid w:val="0007796D"/>
    <w:rsid w:val="00085BB8"/>
    <w:rsid w:val="00086C53"/>
    <w:rsid w:val="00086ED5"/>
    <w:rsid w:val="00094E55"/>
    <w:rsid w:val="000955A2"/>
    <w:rsid w:val="000966DE"/>
    <w:rsid w:val="00097442"/>
    <w:rsid w:val="000A0EB8"/>
    <w:rsid w:val="000A1349"/>
    <w:rsid w:val="000A16E6"/>
    <w:rsid w:val="000A1E31"/>
    <w:rsid w:val="000A27F4"/>
    <w:rsid w:val="000A44FC"/>
    <w:rsid w:val="000A4AA5"/>
    <w:rsid w:val="000A5602"/>
    <w:rsid w:val="000A6A26"/>
    <w:rsid w:val="000B42D6"/>
    <w:rsid w:val="000B5753"/>
    <w:rsid w:val="000B57AE"/>
    <w:rsid w:val="000B62B3"/>
    <w:rsid w:val="000B6EAF"/>
    <w:rsid w:val="000C0CA1"/>
    <w:rsid w:val="000C0D7F"/>
    <w:rsid w:val="000C445C"/>
    <w:rsid w:val="000C4F24"/>
    <w:rsid w:val="000D036B"/>
    <w:rsid w:val="000D2A5B"/>
    <w:rsid w:val="000D2D01"/>
    <w:rsid w:val="000D6497"/>
    <w:rsid w:val="000D730C"/>
    <w:rsid w:val="000E0040"/>
    <w:rsid w:val="000E119C"/>
    <w:rsid w:val="000E5053"/>
    <w:rsid w:val="000E556D"/>
    <w:rsid w:val="000E5F86"/>
    <w:rsid w:val="000E7395"/>
    <w:rsid w:val="000E77F1"/>
    <w:rsid w:val="000E7F7A"/>
    <w:rsid w:val="000F1B26"/>
    <w:rsid w:val="000F2BFD"/>
    <w:rsid w:val="000F4629"/>
    <w:rsid w:val="000F49B2"/>
    <w:rsid w:val="00100A20"/>
    <w:rsid w:val="0010126B"/>
    <w:rsid w:val="00101E77"/>
    <w:rsid w:val="001054E9"/>
    <w:rsid w:val="0011279C"/>
    <w:rsid w:val="00117A06"/>
    <w:rsid w:val="00117C27"/>
    <w:rsid w:val="00122313"/>
    <w:rsid w:val="00131BEB"/>
    <w:rsid w:val="00134145"/>
    <w:rsid w:val="00134B8F"/>
    <w:rsid w:val="00135656"/>
    <w:rsid w:val="001364EC"/>
    <w:rsid w:val="00140EC5"/>
    <w:rsid w:val="00141E2C"/>
    <w:rsid w:val="00144DFD"/>
    <w:rsid w:val="00145A48"/>
    <w:rsid w:val="00146852"/>
    <w:rsid w:val="00147553"/>
    <w:rsid w:val="001477C0"/>
    <w:rsid w:val="0015099D"/>
    <w:rsid w:val="001527FE"/>
    <w:rsid w:val="0015383C"/>
    <w:rsid w:val="00154B7D"/>
    <w:rsid w:val="00154EF4"/>
    <w:rsid w:val="00160EBB"/>
    <w:rsid w:val="00162C91"/>
    <w:rsid w:val="00167D80"/>
    <w:rsid w:val="00172376"/>
    <w:rsid w:val="0017250A"/>
    <w:rsid w:val="00173B64"/>
    <w:rsid w:val="0017698C"/>
    <w:rsid w:val="00177C38"/>
    <w:rsid w:val="00177FFC"/>
    <w:rsid w:val="00180805"/>
    <w:rsid w:val="001826D8"/>
    <w:rsid w:val="0019763E"/>
    <w:rsid w:val="001A1E58"/>
    <w:rsid w:val="001A3185"/>
    <w:rsid w:val="001A502A"/>
    <w:rsid w:val="001B2D93"/>
    <w:rsid w:val="001B3073"/>
    <w:rsid w:val="001B5381"/>
    <w:rsid w:val="001C0AD8"/>
    <w:rsid w:val="001C13F7"/>
    <w:rsid w:val="001C3ECC"/>
    <w:rsid w:val="001C6B3F"/>
    <w:rsid w:val="001C7340"/>
    <w:rsid w:val="001C7D33"/>
    <w:rsid w:val="001D4FDA"/>
    <w:rsid w:val="001D78D2"/>
    <w:rsid w:val="001E1996"/>
    <w:rsid w:val="001E2149"/>
    <w:rsid w:val="001E31FE"/>
    <w:rsid w:val="001E4BEB"/>
    <w:rsid w:val="001E78B7"/>
    <w:rsid w:val="001F08A1"/>
    <w:rsid w:val="00200BA7"/>
    <w:rsid w:val="00205B2A"/>
    <w:rsid w:val="00207861"/>
    <w:rsid w:val="002118AA"/>
    <w:rsid w:val="00212243"/>
    <w:rsid w:val="002130F2"/>
    <w:rsid w:val="00213A52"/>
    <w:rsid w:val="0022055A"/>
    <w:rsid w:val="0022148D"/>
    <w:rsid w:val="002226E7"/>
    <w:rsid w:val="00222BA4"/>
    <w:rsid w:val="00223C4C"/>
    <w:rsid w:val="00231639"/>
    <w:rsid w:val="00235B98"/>
    <w:rsid w:val="00236A5D"/>
    <w:rsid w:val="0023730B"/>
    <w:rsid w:val="00237A74"/>
    <w:rsid w:val="0024086B"/>
    <w:rsid w:val="00241140"/>
    <w:rsid w:val="002426F7"/>
    <w:rsid w:val="0024377A"/>
    <w:rsid w:val="00243BF9"/>
    <w:rsid w:val="002448C3"/>
    <w:rsid w:val="00244D39"/>
    <w:rsid w:val="00251F7D"/>
    <w:rsid w:val="00253758"/>
    <w:rsid w:val="00254589"/>
    <w:rsid w:val="00255921"/>
    <w:rsid w:val="00255B99"/>
    <w:rsid w:val="00260646"/>
    <w:rsid w:val="00260F0D"/>
    <w:rsid w:val="0026742C"/>
    <w:rsid w:val="00272943"/>
    <w:rsid w:val="00272C0E"/>
    <w:rsid w:val="002751B3"/>
    <w:rsid w:val="0027535F"/>
    <w:rsid w:val="00275781"/>
    <w:rsid w:val="00276F64"/>
    <w:rsid w:val="002804C5"/>
    <w:rsid w:val="002814E3"/>
    <w:rsid w:val="00282841"/>
    <w:rsid w:val="00282BE4"/>
    <w:rsid w:val="002847C0"/>
    <w:rsid w:val="00284BD5"/>
    <w:rsid w:val="00285539"/>
    <w:rsid w:val="00285697"/>
    <w:rsid w:val="00285AE9"/>
    <w:rsid w:val="0029090D"/>
    <w:rsid w:val="00290C76"/>
    <w:rsid w:val="002917FE"/>
    <w:rsid w:val="00292B80"/>
    <w:rsid w:val="00292EBB"/>
    <w:rsid w:val="00294DFF"/>
    <w:rsid w:val="002971DA"/>
    <w:rsid w:val="00297856"/>
    <w:rsid w:val="002A0670"/>
    <w:rsid w:val="002A140C"/>
    <w:rsid w:val="002A20C9"/>
    <w:rsid w:val="002A48D1"/>
    <w:rsid w:val="002B0452"/>
    <w:rsid w:val="002B0A1C"/>
    <w:rsid w:val="002B5723"/>
    <w:rsid w:val="002C2E94"/>
    <w:rsid w:val="002C4D14"/>
    <w:rsid w:val="002C6C02"/>
    <w:rsid w:val="002C74DF"/>
    <w:rsid w:val="002C782B"/>
    <w:rsid w:val="002C7C7F"/>
    <w:rsid w:val="002D28D8"/>
    <w:rsid w:val="002D2BBB"/>
    <w:rsid w:val="002D328B"/>
    <w:rsid w:val="002D368F"/>
    <w:rsid w:val="002D5B59"/>
    <w:rsid w:val="002D6A2C"/>
    <w:rsid w:val="002D6ED3"/>
    <w:rsid w:val="002E0414"/>
    <w:rsid w:val="002E2B43"/>
    <w:rsid w:val="002E34BC"/>
    <w:rsid w:val="002E5891"/>
    <w:rsid w:val="002F27DB"/>
    <w:rsid w:val="002F3366"/>
    <w:rsid w:val="002F3BF9"/>
    <w:rsid w:val="002F53CE"/>
    <w:rsid w:val="002F5D79"/>
    <w:rsid w:val="002F7F97"/>
    <w:rsid w:val="0030085B"/>
    <w:rsid w:val="00300B81"/>
    <w:rsid w:val="003019AE"/>
    <w:rsid w:val="00303C92"/>
    <w:rsid w:val="00310447"/>
    <w:rsid w:val="00310C39"/>
    <w:rsid w:val="003110D7"/>
    <w:rsid w:val="00313A46"/>
    <w:rsid w:val="003152B5"/>
    <w:rsid w:val="00316869"/>
    <w:rsid w:val="00317280"/>
    <w:rsid w:val="003174AF"/>
    <w:rsid w:val="00317A51"/>
    <w:rsid w:val="0032505A"/>
    <w:rsid w:val="0032603B"/>
    <w:rsid w:val="00335F22"/>
    <w:rsid w:val="0033656D"/>
    <w:rsid w:val="00336AA3"/>
    <w:rsid w:val="0034031D"/>
    <w:rsid w:val="0034322E"/>
    <w:rsid w:val="00343CBC"/>
    <w:rsid w:val="00344EA0"/>
    <w:rsid w:val="0034656C"/>
    <w:rsid w:val="00346F49"/>
    <w:rsid w:val="00350C59"/>
    <w:rsid w:val="0035156D"/>
    <w:rsid w:val="00355FF4"/>
    <w:rsid w:val="00363B14"/>
    <w:rsid w:val="003663FD"/>
    <w:rsid w:val="00367FD3"/>
    <w:rsid w:val="00372DA8"/>
    <w:rsid w:val="00374113"/>
    <w:rsid w:val="00376F61"/>
    <w:rsid w:val="00380DC9"/>
    <w:rsid w:val="00383A51"/>
    <w:rsid w:val="0039377E"/>
    <w:rsid w:val="00395350"/>
    <w:rsid w:val="003979B5"/>
    <w:rsid w:val="003A0D68"/>
    <w:rsid w:val="003A46C3"/>
    <w:rsid w:val="003A4DF8"/>
    <w:rsid w:val="003B23CB"/>
    <w:rsid w:val="003B3510"/>
    <w:rsid w:val="003B3A18"/>
    <w:rsid w:val="003B47CB"/>
    <w:rsid w:val="003B69E5"/>
    <w:rsid w:val="003B6ABE"/>
    <w:rsid w:val="003C000C"/>
    <w:rsid w:val="003C2717"/>
    <w:rsid w:val="003C3769"/>
    <w:rsid w:val="003C481E"/>
    <w:rsid w:val="003C5595"/>
    <w:rsid w:val="003D3720"/>
    <w:rsid w:val="003D61B3"/>
    <w:rsid w:val="003D61D1"/>
    <w:rsid w:val="003D6C46"/>
    <w:rsid w:val="003E25C2"/>
    <w:rsid w:val="003E49CF"/>
    <w:rsid w:val="003F3872"/>
    <w:rsid w:val="003F4447"/>
    <w:rsid w:val="003F5C7C"/>
    <w:rsid w:val="00400679"/>
    <w:rsid w:val="004008A9"/>
    <w:rsid w:val="00400BE0"/>
    <w:rsid w:val="00400D6B"/>
    <w:rsid w:val="00401637"/>
    <w:rsid w:val="00403336"/>
    <w:rsid w:val="00404383"/>
    <w:rsid w:val="00406BE0"/>
    <w:rsid w:val="00407445"/>
    <w:rsid w:val="00410EBF"/>
    <w:rsid w:val="004113B5"/>
    <w:rsid w:val="00412938"/>
    <w:rsid w:val="00413379"/>
    <w:rsid w:val="004133A8"/>
    <w:rsid w:val="00416998"/>
    <w:rsid w:val="00421C26"/>
    <w:rsid w:val="004246D6"/>
    <w:rsid w:val="00425431"/>
    <w:rsid w:val="0042722C"/>
    <w:rsid w:val="004317A1"/>
    <w:rsid w:val="00432221"/>
    <w:rsid w:val="0043562C"/>
    <w:rsid w:val="00441675"/>
    <w:rsid w:val="00442B3C"/>
    <w:rsid w:val="004437DC"/>
    <w:rsid w:val="00447F1F"/>
    <w:rsid w:val="00453F7A"/>
    <w:rsid w:val="00454F4E"/>
    <w:rsid w:val="00456C5A"/>
    <w:rsid w:val="004602FE"/>
    <w:rsid w:val="00460ED4"/>
    <w:rsid w:val="00463AFC"/>
    <w:rsid w:val="00464813"/>
    <w:rsid w:val="004715AF"/>
    <w:rsid w:val="004732C7"/>
    <w:rsid w:val="00475CDD"/>
    <w:rsid w:val="00481CC6"/>
    <w:rsid w:val="004820D3"/>
    <w:rsid w:val="004825C5"/>
    <w:rsid w:val="00482A84"/>
    <w:rsid w:val="004922F7"/>
    <w:rsid w:val="00492B7D"/>
    <w:rsid w:val="0049301F"/>
    <w:rsid w:val="0049303D"/>
    <w:rsid w:val="00494822"/>
    <w:rsid w:val="00495040"/>
    <w:rsid w:val="00496CEC"/>
    <w:rsid w:val="004A0B25"/>
    <w:rsid w:val="004A2FAB"/>
    <w:rsid w:val="004B23DC"/>
    <w:rsid w:val="004B6957"/>
    <w:rsid w:val="004B7702"/>
    <w:rsid w:val="004C1B77"/>
    <w:rsid w:val="004C1BC4"/>
    <w:rsid w:val="004C7562"/>
    <w:rsid w:val="004D3798"/>
    <w:rsid w:val="004D4B19"/>
    <w:rsid w:val="004E421F"/>
    <w:rsid w:val="004E4C80"/>
    <w:rsid w:val="004F1207"/>
    <w:rsid w:val="004F6A0C"/>
    <w:rsid w:val="004F6FA4"/>
    <w:rsid w:val="004F7238"/>
    <w:rsid w:val="00503543"/>
    <w:rsid w:val="00504DEF"/>
    <w:rsid w:val="00505908"/>
    <w:rsid w:val="00505927"/>
    <w:rsid w:val="005067B4"/>
    <w:rsid w:val="005122BE"/>
    <w:rsid w:val="00523BC5"/>
    <w:rsid w:val="00524D22"/>
    <w:rsid w:val="00527298"/>
    <w:rsid w:val="00530D68"/>
    <w:rsid w:val="00533232"/>
    <w:rsid w:val="00533862"/>
    <w:rsid w:val="00541EA8"/>
    <w:rsid w:val="00546A6B"/>
    <w:rsid w:val="005473F0"/>
    <w:rsid w:val="00547A12"/>
    <w:rsid w:val="0055721A"/>
    <w:rsid w:val="005601CD"/>
    <w:rsid w:val="00560568"/>
    <w:rsid w:val="00560717"/>
    <w:rsid w:val="00564AED"/>
    <w:rsid w:val="00564E75"/>
    <w:rsid w:val="00570073"/>
    <w:rsid w:val="00574701"/>
    <w:rsid w:val="0057554C"/>
    <w:rsid w:val="00575E99"/>
    <w:rsid w:val="00576409"/>
    <w:rsid w:val="0059156D"/>
    <w:rsid w:val="00592455"/>
    <w:rsid w:val="00592AFB"/>
    <w:rsid w:val="0059350B"/>
    <w:rsid w:val="00593D5C"/>
    <w:rsid w:val="005A2EEE"/>
    <w:rsid w:val="005A37B4"/>
    <w:rsid w:val="005A3F68"/>
    <w:rsid w:val="005A5B84"/>
    <w:rsid w:val="005B027E"/>
    <w:rsid w:val="005B030A"/>
    <w:rsid w:val="005B1453"/>
    <w:rsid w:val="005B35DC"/>
    <w:rsid w:val="005B5A3B"/>
    <w:rsid w:val="005B6330"/>
    <w:rsid w:val="005B6438"/>
    <w:rsid w:val="005B6BEA"/>
    <w:rsid w:val="005B782C"/>
    <w:rsid w:val="005C19FC"/>
    <w:rsid w:val="005C3293"/>
    <w:rsid w:val="005C3AF3"/>
    <w:rsid w:val="005C73B7"/>
    <w:rsid w:val="005D14CC"/>
    <w:rsid w:val="005D306C"/>
    <w:rsid w:val="005D7BBC"/>
    <w:rsid w:val="005E21FD"/>
    <w:rsid w:val="005E2946"/>
    <w:rsid w:val="005E5A78"/>
    <w:rsid w:val="005F07A9"/>
    <w:rsid w:val="005F2580"/>
    <w:rsid w:val="005F6F7B"/>
    <w:rsid w:val="006003B1"/>
    <w:rsid w:val="0060384B"/>
    <w:rsid w:val="00604F20"/>
    <w:rsid w:val="00606836"/>
    <w:rsid w:val="00606DFD"/>
    <w:rsid w:val="00621757"/>
    <w:rsid w:val="00625A26"/>
    <w:rsid w:val="006276E7"/>
    <w:rsid w:val="0063031E"/>
    <w:rsid w:val="0063058C"/>
    <w:rsid w:val="00631048"/>
    <w:rsid w:val="00631098"/>
    <w:rsid w:val="0063310D"/>
    <w:rsid w:val="00633F58"/>
    <w:rsid w:val="00636343"/>
    <w:rsid w:val="006413A4"/>
    <w:rsid w:val="00642F1E"/>
    <w:rsid w:val="00643515"/>
    <w:rsid w:val="0064433D"/>
    <w:rsid w:val="00644FED"/>
    <w:rsid w:val="00645716"/>
    <w:rsid w:val="00647E20"/>
    <w:rsid w:val="006508F8"/>
    <w:rsid w:val="00651E52"/>
    <w:rsid w:val="00651EA9"/>
    <w:rsid w:val="00652F11"/>
    <w:rsid w:val="00654099"/>
    <w:rsid w:val="006556FC"/>
    <w:rsid w:val="00655C56"/>
    <w:rsid w:val="00657451"/>
    <w:rsid w:val="00660004"/>
    <w:rsid w:val="006654A7"/>
    <w:rsid w:val="00665EDF"/>
    <w:rsid w:val="00667AF7"/>
    <w:rsid w:val="00673776"/>
    <w:rsid w:val="00674ECC"/>
    <w:rsid w:val="00675F1D"/>
    <w:rsid w:val="00676F05"/>
    <w:rsid w:val="00681FB2"/>
    <w:rsid w:val="00686500"/>
    <w:rsid w:val="00686630"/>
    <w:rsid w:val="0069101F"/>
    <w:rsid w:val="0069206E"/>
    <w:rsid w:val="00692137"/>
    <w:rsid w:val="00692863"/>
    <w:rsid w:val="00692F51"/>
    <w:rsid w:val="006948EC"/>
    <w:rsid w:val="00694E07"/>
    <w:rsid w:val="006A3681"/>
    <w:rsid w:val="006A5569"/>
    <w:rsid w:val="006A6EB8"/>
    <w:rsid w:val="006B05CD"/>
    <w:rsid w:val="006B2240"/>
    <w:rsid w:val="006B26EB"/>
    <w:rsid w:val="006B3BE5"/>
    <w:rsid w:val="006B3E16"/>
    <w:rsid w:val="006B43AC"/>
    <w:rsid w:val="006C38E9"/>
    <w:rsid w:val="006C3FAD"/>
    <w:rsid w:val="006C3FC7"/>
    <w:rsid w:val="006C5488"/>
    <w:rsid w:val="006C54F9"/>
    <w:rsid w:val="006D2F09"/>
    <w:rsid w:val="006D5F9B"/>
    <w:rsid w:val="006D7331"/>
    <w:rsid w:val="006E0701"/>
    <w:rsid w:val="006E23B8"/>
    <w:rsid w:val="006E3CE4"/>
    <w:rsid w:val="006E414F"/>
    <w:rsid w:val="006E4A22"/>
    <w:rsid w:val="006E4A87"/>
    <w:rsid w:val="006F6C5E"/>
    <w:rsid w:val="006F6E46"/>
    <w:rsid w:val="006F780A"/>
    <w:rsid w:val="00700451"/>
    <w:rsid w:val="007027C4"/>
    <w:rsid w:val="00712B30"/>
    <w:rsid w:val="00712F36"/>
    <w:rsid w:val="00713AE0"/>
    <w:rsid w:val="00715F3A"/>
    <w:rsid w:val="007167D2"/>
    <w:rsid w:val="00723449"/>
    <w:rsid w:val="00730745"/>
    <w:rsid w:val="0073368D"/>
    <w:rsid w:val="0073418D"/>
    <w:rsid w:val="00736850"/>
    <w:rsid w:val="00736BC2"/>
    <w:rsid w:val="007422A1"/>
    <w:rsid w:val="00742A03"/>
    <w:rsid w:val="0074384B"/>
    <w:rsid w:val="00743C88"/>
    <w:rsid w:val="00744DFB"/>
    <w:rsid w:val="00747B2C"/>
    <w:rsid w:val="0075327B"/>
    <w:rsid w:val="00755B91"/>
    <w:rsid w:val="00755BF9"/>
    <w:rsid w:val="0076386C"/>
    <w:rsid w:val="00763A44"/>
    <w:rsid w:val="007654F6"/>
    <w:rsid w:val="007726EB"/>
    <w:rsid w:val="00774C95"/>
    <w:rsid w:val="007751FE"/>
    <w:rsid w:val="007768A7"/>
    <w:rsid w:val="00780240"/>
    <w:rsid w:val="00780AE7"/>
    <w:rsid w:val="00787666"/>
    <w:rsid w:val="00791B97"/>
    <w:rsid w:val="00792589"/>
    <w:rsid w:val="00793359"/>
    <w:rsid w:val="007939BF"/>
    <w:rsid w:val="00795178"/>
    <w:rsid w:val="00795CD7"/>
    <w:rsid w:val="007964E1"/>
    <w:rsid w:val="00796A75"/>
    <w:rsid w:val="007A0C8F"/>
    <w:rsid w:val="007A372D"/>
    <w:rsid w:val="007A3992"/>
    <w:rsid w:val="007A3EAC"/>
    <w:rsid w:val="007A4DFE"/>
    <w:rsid w:val="007A66FD"/>
    <w:rsid w:val="007A7C79"/>
    <w:rsid w:val="007B14C0"/>
    <w:rsid w:val="007B2371"/>
    <w:rsid w:val="007B2480"/>
    <w:rsid w:val="007B2526"/>
    <w:rsid w:val="007B26B9"/>
    <w:rsid w:val="007B7699"/>
    <w:rsid w:val="007C01E4"/>
    <w:rsid w:val="007C05CD"/>
    <w:rsid w:val="007C2511"/>
    <w:rsid w:val="007C2CEA"/>
    <w:rsid w:val="007C36AD"/>
    <w:rsid w:val="007C4673"/>
    <w:rsid w:val="007C54E5"/>
    <w:rsid w:val="007C6961"/>
    <w:rsid w:val="007D1868"/>
    <w:rsid w:val="007D3C3D"/>
    <w:rsid w:val="007D4C34"/>
    <w:rsid w:val="007D6C70"/>
    <w:rsid w:val="007D721A"/>
    <w:rsid w:val="007E163B"/>
    <w:rsid w:val="00803912"/>
    <w:rsid w:val="008064AE"/>
    <w:rsid w:val="0081285E"/>
    <w:rsid w:val="0081304E"/>
    <w:rsid w:val="0081439C"/>
    <w:rsid w:val="008146C9"/>
    <w:rsid w:val="008160A1"/>
    <w:rsid w:val="00816CEC"/>
    <w:rsid w:val="00817F8B"/>
    <w:rsid w:val="0082130C"/>
    <w:rsid w:val="0082555B"/>
    <w:rsid w:val="00826E0D"/>
    <w:rsid w:val="00826E22"/>
    <w:rsid w:val="00831248"/>
    <w:rsid w:val="00831843"/>
    <w:rsid w:val="00831E3E"/>
    <w:rsid w:val="00837939"/>
    <w:rsid w:val="008414CA"/>
    <w:rsid w:val="008438A5"/>
    <w:rsid w:val="008472AB"/>
    <w:rsid w:val="008501AA"/>
    <w:rsid w:val="00853F94"/>
    <w:rsid w:val="00854245"/>
    <w:rsid w:val="00854D7E"/>
    <w:rsid w:val="00861B6E"/>
    <w:rsid w:val="00862354"/>
    <w:rsid w:val="00862834"/>
    <w:rsid w:val="0086795C"/>
    <w:rsid w:val="0087022E"/>
    <w:rsid w:val="00872FC8"/>
    <w:rsid w:val="00882D8E"/>
    <w:rsid w:val="0088486D"/>
    <w:rsid w:val="00892766"/>
    <w:rsid w:val="008A0143"/>
    <w:rsid w:val="008A0CDF"/>
    <w:rsid w:val="008A14BB"/>
    <w:rsid w:val="008A3C9E"/>
    <w:rsid w:val="008B4F43"/>
    <w:rsid w:val="008B520C"/>
    <w:rsid w:val="008B6BD7"/>
    <w:rsid w:val="008B708A"/>
    <w:rsid w:val="008C4B57"/>
    <w:rsid w:val="008C5DB0"/>
    <w:rsid w:val="008C660E"/>
    <w:rsid w:val="008C73A3"/>
    <w:rsid w:val="008C7ADC"/>
    <w:rsid w:val="008D01E2"/>
    <w:rsid w:val="008D4DDD"/>
    <w:rsid w:val="008D531B"/>
    <w:rsid w:val="008D5607"/>
    <w:rsid w:val="008D6FD9"/>
    <w:rsid w:val="008E02C9"/>
    <w:rsid w:val="008E07EB"/>
    <w:rsid w:val="008E23AC"/>
    <w:rsid w:val="008E3819"/>
    <w:rsid w:val="008E51A1"/>
    <w:rsid w:val="008E522D"/>
    <w:rsid w:val="008E6171"/>
    <w:rsid w:val="008F082C"/>
    <w:rsid w:val="008F250A"/>
    <w:rsid w:val="008F39AE"/>
    <w:rsid w:val="008F5EBF"/>
    <w:rsid w:val="008F7A03"/>
    <w:rsid w:val="009014B5"/>
    <w:rsid w:val="00901A15"/>
    <w:rsid w:val="00903965"/>
    <w:rsid w:val="00905546"/>
    <w:rsid w:val="0090577B"/>
    <w:rsid w:val="009108D8"/>
    <w:rsid w:val="00910A84"/>
    <w:rsid w:val="00910CD5"/>
    <w:rsid w:val="009116AC"/>
    <w:rsid w:val="00913914"/>
    <w:rsid w:val="00916671"/>
    <w:rsid w:val="00916ACB"/>
    <w:rsid w:val="00921411"/>
    <w:rsid w:val="009274B7"/>
    <w:rsid w:val="00930453"/>
    <w:rsid w:val="00932E92"/>
    <w:rsid w:val="00932F18"/>
    <w:rsid w:val="009338FD"/>
    <w:rsid w:val="00933D1B"/>
    <w:rsid w:val="0093513C"/>
    <w:rsid w:val="0093658B"/>
    <w:rsid w:val="009442D6"/>
    <w:rsid w:val="009451DE"/>
    <w:rsid w:val="00946E73"/>
    <w:rsid w:val="00950DE0"/>
    <w:rsid w:val="00952DEB"/>
    <w:rsid w:val="00954DD6"/>
    <w:rsid w:val="009578E8"/>
    <w:rsid w:val="00963442"/>
    <w:rsid w:val="00963C90"/>
    <w:rsid w:val="009651F4"/>
    <w:rsid w:val="00966449"/>
    <w:rsid w:val="00966DAD"/>
    <w:rsid w:val="0097111F"/>
    <w:rsid w:val="00971BEF"/>
    <w:rsid w:val="00972273"/>
    <w:rsid w:val="00973D1C"/>
    <w:rsid w:val="009743E4"/>
    <w:rsid w:val="0097746D"/>
    <w:rsid w:val="00977C2A"/>
    <w:rsid w:val="0098454A"/>
    <w:rsid w:val="00990FE6"/>
    <w:rsid w:val="009911C8"/>
    <w:rsid w:val="00992E63"/>
    <w:rsid w:val="00993774"/>
    <w:rsid w:val="009A5912"/>
    <w:rsid w:val="009A63AF"/>
    <w:rsid w:val="009A70CF"/>
    <w:rsid w:val="009B77D0"/>
    <w:rsid w:val="009C00C5"/>
    <w:rsid w:val="009C059D"/>
    <w:rsid w:val="009C28AD"/>
    <w:rsid w:val="009C2ECA"/>
    <w:rsid w:val="009C48E9"/>
    <w:rsid w:val="009C788D"/>
    <w:rsid w:val="009D0C5A"/>
    <w:rsid w:val="009D10EB"/>
    <w:rsid w:val="009D4AD2"/>
    <w:rsid w:val="009D585F"/>
    <w:rsid w:val="009D6926"/>
    <w:rsid w:val="009D6A21"/>
    <w:rsid w:val="009D786E"/>
    <w:rsid w:val="009E464F"/>
    <w:rsid w:val="009E4ED3"/>
    <w:rsid w:val="009E6A40"/>
    <w:rsid w:val="009E6F7D"/>
    <w:rsid w:val="009E7FEC"/>
    <w:rsid w:val="009F2B5E"/>
    <w:rsid w:val="009F2D42"/>
    <w:rsid w:val="009F4099"/>
    <w:rsid w:val="00A0016D"/>
    <w:rsid w:val="00A007A1"/>
    <w:rsid w:val="00A02F34"/>
    <w:rsid w:val="00A03473"/>
    <w:rsid w:val="00A05966"/>
    <w:rsid w:val="00A11335"/>
    <w:rsid w:val="00A141DA"/>
    <w:rsid w:val="00A14EC9"/>
    <w:rsid w:val="00A25F41"/>
    <w:rsid w:val="00A27544"/>
    <w:rsid w:val="00A30B23"/>
    <w:rsid w:val="00A358CF"/>
    <w:rsid w:val="00A35A96"/>
    <w:rsid w:val="00A37C10"/>
    <w:rsid w:val="00A437C6"/>
    <w:rsid w:val="00A43E19"/>
    <w:rsid w:val="00A44320"/>
    <w:rsid w:val="00A443A6"/>
    <w:rsid w:val="00A45335"/>
    <w:rsid w:val="00A46A89"/>
    <w:rsid w:val="00A47B96"/>
    <w:rsid w:val="00A505DA"/>
    <w:rsid w:val="00A54725"/>
    <w:rsid w:val="00A551D1"/>
    <w:rsid w:val="00A5604A"/>
    <w:rsid w:val="00A5616A"/>
    <w:rsid w:val="00A56B71"/>
    <w:rsid w:val="00A56DE8"/>
    <w:rsid w:val="00A56FE8"/>
    <w:rsid w:val="00A5752F"/>
    <w:rsid w:val="00A62BC2"/>
    <w:rsid w:val="00A63C41"/>
    <w:rsid w:val="00A6620E"/>
    <w:rsid w:val="00A721A5"/>
    <w:rsid w:val="00A74DF2"/>
    <w:rsid w:val="00A77F06"/>
    <w:rsid w:val="00A815C0"/>
    <w:rsid w:val="00A819C8"/>
    <w:rsid w:val="00A82717"/>
    <w:rsid w:val="00A8544A"/>
    <w:rsid w:val="00A863DD"/>
    <w:rsid w:val="00A87FCF"/>
    <w:rsid w:val="00A90290"/>
    <w:rsid w:val="00A906A4"/>
    <w:rsid w:val="00A90935"/>
    <w:rsid w:val="00A928D2"/>
    <w:rsid w:val="00A97792"/>
    <w:rsid w:val="00A97BD2"/>
    <w:rsid w:val="00AA4546"/>
    <w:rsid w:val="00AA67B5"/>
    <w:rsid w:val="00AA6937"/>
    <w:rsid w:val="00AA7A53"/>
    <w:rsid w:val="00AB26FB"/>
    <w:rsid w:val="00AB7136"/>
    <w:rsid w:val="00AC1398"/>
    <w:rsid w:val="00AD2D17"/>
    <w:rsid w:val="00AD4FB6"/>
    <w:rsid w:val="00AD64A6"/>
    <w:rsid w:val="00AD78F2"/>
    <w:rsid w:val="00AE2F86"/>
    <w:rsid w:val="00AF0D2F"/>
    <w:rsid w:val="00AF387E"/>
    <w:rsid w:val="00AF3B64"/>
    <w:rsid w:val="00AF5F9E"/>
    <w:rsid w:val="00B0210F"/>
    <w:rsid w:val="00B0292B"/>
    <w:rsid w:val="00B02BC4"/>
    <w:rsid w:val="00B03B04"/>
    <w:rsid w:val="00B06F01"/>
    <w:rsid w:val="00B10C74"/>
    <w:rsid w:val="00B10E5E"/>
    <w:rsid w:val="00B11599"/>
    <w:rsid w:val="00B11A66"/>
    <w:rsid w:val="00B145C3"/>
    <w:rsid w:val="00B21949"/>
    <w:rsid w:val="00B230B5"/>
    <w:rsid w:val="00B24187"/>
    <w:rsid w:val="00B24E74"/>
    <w:rsid w:val="00B25BC0"/>
    <w:rsid w:val="00B25C6C"/>
    <w:rsid w:val="00B263A4"/>
    <w:rsid w:val="00B316FD"/>
    <w:rsid w:val="00B36935"/>
    <w:rsid w:val="00B40F17"/>
    <w:rsid w:val="00B41645"/>
    <w:rsid w:val="00B43CE4"/>
    <w:rsid w:val="00B447A2"/>
    <w:rsid w:val="00B50C5E"/>
    <w:rsid w:val="00B51440"/>
    <w:rsid w:val="00B5162C"/>
    <w:rsid w:val="00B54641"/>
    <w:rsid w:val="00B55275"/>
    <w:rsid w:val="00B5567D"/>
    <w:rsid w:val="00B574D6"/>
    <w:rsid w:val="00B57AFC"/>
    <w:rsid w:val="00B608E8"/>
    <w:rsid w:val="00B64755"/>
    <w:rsid w:val="00B66742"/>
    <w:rsid w:val="00B70A8D"/>
    <w:rsid w:val="00B72AF3"/>
    <w:rsid w:val="00B733B1"/>
    <w:rsid w:val="00B74268"/>
    <w:rsid w:val="00B8033D"/>
    <w:rsid w:val="00B80551"/>
    <w:rsid w:val="00B818DA"/>
    <w:rsid w:val="00B81B3D"/>
    <w:rsid w:val="00B84FAF"/>
    <w:rsid w:val="00B91AA7"/>
    <w:rsid w:val="00B93743"/>
    <w:rsid w:val="00B943AF"/>
    <w:rsid w:val="00B95F9D"/>
    <w:rsid w:val="00B96866"/>
    <w:rsid w:val="00BA0D30"/>
    <w:rsid w:val="00BA128C"/>
    <w:rsid w:val="00BA1BFA"/>
    <w:rsid w:val="00BA539F"/>
    <w:rsid w:val="00BA71E9"/>
    <w:rsid w:val="00BB130F"/>
    <w:rsid w:val="00BB6626"/>
    <w:rsid w:val="00BC1112"/>
    <w:rsid w:val="00BC3E1F"/>
    <w:rsid w:val="00BC4DDC"/>
    <w:rsid w:val="00BC4F2B"/>
    <w:rsid w:val="00BC65D0"/>
    <w:rsid w:val="00BD0726"/>
    <w:rsid w:val="00BD1085"/>
    <w:rsid w:val="00BD2C41"/>
    <w:rsid w:val="00BD53E4"/>
    <w:rsid w:val="00BD7D46"/>
    <w:rsid w:val="00BE11F8"/>
    <w:rsid w:val="00BE14AE"/>
    <w:rsid w:val="00BE1D97"/>
    <w:rsid w:val="00BE3AAE"/>
    <w:rsid w:val="00BE65D2"/>
    <w:rsid w:val="00BF33F2"/>
    <w:rsid w:val="00C02B34"/>
    <w:rsid w:val="00C05363"/>
    <w:rsid w:val="00C05888"/>
    <w:rsid w:val="00C05A79"/>
    <w:rsid w:val="00C07632"/>
    <w:rsid w:val="00C10C9D"/>
    <w:rsid w:val="00C147F9"/>
    <w:rsid w:val="00C21909"/>
    <w:rsid w:val="00C26309"/>
    <w:rsid w:val="00C27CE8"/>
    <w:rsid w:val="00C33115"/>
    <w:rsid w:val="00C35223"/>
    <w:rsid w:val="00C36AD7"/>
    <w:rsid w:val="00C406AA"/>
    <w:rsid w:val="00C43B0E"/>
    <w:rsid w:val="00C44074"/>
    <w:rsid w:val="00C44536"/>
    <w:rsid w:val="00C45917"/>
    <w:rsid w:val="00C5114A"/>
    <w:rsid w:val="00C54912"/>
    <w:rsid w:val="00C5789C"/>
    <w:rsid w:val="00C60A56"/>
    <w:rsid w:val="00C6516D"/>
    <w:rsid w:val="00C677DC"/>
    <w:rsid w:val="00C7336B"/>
    <w:rsid w:val="00C73485"/>
    <w:rsid w:val="00C76CBB"/>
    <w:rsid w:val="00C7775A"/>
    <w:rsid w:val="00C80591"/>
    <w:rsid w:val="00C8374A"/>
    <w:rsid w:val="00C83D54"/>
    <w:rsid w:val="00C85588"/>
    <w:rsid w:val="00C85C34"/>
    <w:rsid w:val="00C87EB5"/>
    <w:rsid w:val="00C91C5C"/>
    <w:rsid w:val="00C92FBC"/>
    <w:rsid w:val="00C93CD8"/>
    <w:rsid w:val="00C97A28"/>
    <w:rsid w:val="00CA2B05"/>
    <w:rsid w:val="00CA2EB4"/>
    <w:rsid w:val="00CA67F4"/>
    <w:rsid w:val="00CA78F6"/>
    <w:rsid w:val="00CB11AF"/>
    <w:rsid w:val="00CB24A0"/>
    <w:rsid w:val="00CB26E0"/>
    <w:rsid w:val="00CB54C1"/>
    <w:rsid w:val="00CC0E8C"/>
    <w:rsid w:val="00CC46E4"/>
    <w:rsid w:val="00CC55C0"/>
    <w:rsid w:val="00CC5C5B"/>
    <w:rsid w:val="00CC6B45"/>
    <w:rsid w:val="00CC7545"/>
    <w:rsid w:val="00CC7711"/>
    <w:rsid w:val="00CD149C"/>
    <w:rsid w:val="00CD5D70"/>
    <w:rsid w:val="00CD6295"/>
    <w:rsid w:val="00CD6F57"/>
    <w:rsid w:val="00CE5781"/>
    <w:rsid w:val="00CF066F"/>
    <w:rsid w:val="00CF2EDE"/>
    <w:rsid w:val="00D02633"/>
    <w:rsid w:val="00D02AFB"/>
    <w:rsid w:val="00D0382A"/>
    <w:rsid w:val="00D0528B"/>
    <w:rsid w:val="00D05C79"/>
    <w:rsid w:val="00D06D21"/>
    <w:rsid w:val="00D100E7"/>
    <w:rsid w:val="00D13155"/>
    <w:rsid w:val="00D149FA"/>
    <w:rsid w:val="00D14C50"/>
    <w:rsid w:val="00D16B95"/>
    <w:rsid w:val="00D20E62"/>
    <w:rsid w:val="00D223E9"/>
    <w:rsid w:val="00D2515A"/>
    <w:rsid w:val="00D253FE"/>
    <w:rsid w:val="00D269B4"/>
    <w:rsid w:val="00D27271"/>
    <w:rsid w:val="00D27E32"/>
    <w:rsid w:val="00D27FD0"/>
    <w:rsid w:val="00D31DED"/>
    <w:rsid w:val="00D3411C"/>
    <w:rsid w:val="00D343EB"/>
    <w:rsid w:val="00D44E5F"/>
    <w:rsid w:val="00D45A20"/>
    <w:rsid w:val="00D476F5"/>
    <w:rsid w:val="00D50FC1"/>
    <w:rsid w:val="00D544F9"/>
    <w:rsid w:val="00D55C76"/>
    <w:rsid w:val="00D62F9B"/>
    <w:rsid w:val="00D63B08"/>
    <w:rsid w:val="00D65B8F"/>
    <w:rsid w:val="00D7362E"/>
    <w:rsid w:val="00D76456"/>
    <w:rsid w:val="00D76CBF"/>
    <w:rsid w:val="00D77DB1"/>
    <w:rsid w:val="00D77F85"/>
    <w:rsid w:val="00D80017"/>
    <w:rsid w:val="00D81FFF"/>
    <w:rsid w:val="00D867EC"/>
    <w:rsid w:val="00D87192"/>
    <w:rsid w:val="00D93A67"/>
    <w:rsid w:val="00D96F3F"/>
    <w:rsid w:val="00DA27EB"/>
    <w:rsid w:val="00DA467C"/>
    <w:rsid w:val="00DA493B"/>
    <w:rsid w:val="00DA5AD2"/>
    <w:rsid w:val="00DB040A"/>
    <w:rsid w:val="00DB63B0"/>
    <w:rsid w:val="00DC186E"/>
    <w:rsid w:val="00DC6ED3"/>
    <w:rsid w:val="00DD0029"/>
    <w:rsid w:val="00DD3473"/>
    <w:rsid w:val="00DD42F3"/>
    <w:rsid w:val="00DD4666"/>
    <w:rsid w:val="00DD7D21"/>
    <w:rsid w:val="00DE16C2"/>
    <w:rsid w:val="00DE5AB6"/>
    <w:rsid w:val="00DE7D32"/>
    <w:rsid w:val="00DF146F"/>
    <w:rsid w:val="00DF28AF"/>
    <w:rsid w:val="00DF36E6"/>
    <w:rsid w:val="00DF4FF1"/>
    <w:rsid w:val="00DF7D55"/>
    <w:rsid w:val="00E0002B"/>
    <w:rsid w:val="00E029DE"/>
    <w:rsid w:val="00E031D1"/>
    <w:rsid w:val="00E04A65"/>
    <w:rsid w:val="00E06C04"/>
    <w:rsid w:val="00E113C8"/>
    <w:rsid w:val="00E16339"/>
    <w:rsid w:val="00E1790F"/>
    <w:rsid w:val="00E20C80"/>
    <w:rsid w:val="00E24799"/>
    <w:rsid w:val="00E25860"/>
    <w:rsid w:val="00E26AA2"/>
    <w:rsid w:val="00E27749"/>
    <w:rsid w:val="00E27A72"/>
    <w:rsid w:val="00E35254"/>
    <w:rsid w:val="00E35291"/>
    <w:rsid w:val="00E36FFC"/>
    <w:rsid w:val="00E3752E"/>
    <w:rsid w:val="00E45BF2"/>
    <w:rsid w:val="00E461B3"/>
    <w:rsid w:val="00E4782B"/>
    <w:rsid w:val="00E503E6"/>
    <w:rsid w:val="00E517E6"/>
    <w:rsid w:val="00E5274E"/>
    <w:rsid w:val="00E54A9B"/>
    <w:rsid w:val="00E54C16"/>
    <w:rsid w:val="00E55D59"/>
    <w:rsid w:val="00E56ECC"/>
    <w:rsid w:val="00E6120D"/>
    <w:rsid w:val="00E64D46"/>
    <w:rsid w:val="00E65890"/>
    <w:rsid w:val="00E66D20"/>
    <w:rsid w:val="00E67CDC"/>
    <w:rsid w:val="00E70023"/>
    <w:rsid w:val="00E71262"/>
    <w:rsid w:val="00E71E22"/>
    <w:rsid w:val="00E72D42"/>
    <w:rsid w:val="00E735BC"/>
    <w:rsid w:val="00E75DEA"/>
    <w:rsid w:val="00E76A58"/>
    <w:rsid w:val="00E80C54"/>
    <w:rsid w:val="00E84850"/>
    <w:rsid w:val="00E8569F"/>
    <w:rsid w:val="00E8601E"/>
    <w:rsid w:val="00E876E6"/>
    <w:rsid w:val="00E87D5D"/>
    <w:rsid w:val="00E90EBA"/>
    <w:rsid w:val="00E91CE2"/>
    <w:rsid w:val="00E957A0"/>
    <w:rsid w:val="00E9673F"/>
    <w:rsid w:val="00E97D9E"/>
    <w:rsid w:val="00EA0EBB"/>
    <w:rsid w:val="00EA2DDB"/>
    <w:rsid w:val="00EA7EB6"/>
    <w:rsid w:val="00EB082D"/>
    <w:rsid w:val="00EB093F"/>
    <w:rsid w:val="00EB4EEE"/>
    <w:rsid w:val="00EB51B5"/>
    <w:rsid w:val="00EB5C0D"/>
    <w:rsid w:val="00EC1063"/>
    <w:rsid w:val="00EC25E7"/>
    <w:rsid w:val="00EC57BA"/>
    <w:rsid w:val="00EC6188"/>
    <w:rsid w:val="00EC6390"/>
    <w:rsid w:val="00EC639B"/>
    <w:rsid w:val="00ED1DD4"/>
    <w:rsid w:val="00ED67E0"/>
    <w:rsid w:val="00ED7D79"/>
    <w:rsid w:val="00EE745C"/>
    <w:rsid w:val="00EE787D"/>
    <w:rsid w:val="00EF176B"/>
    <w:rsid w:val="00EF1E48"/>
    <w:rsid w:val="00EF355D"/>
    <w:rsid w:val="00EF478B"/>
    <w:rsid w:val="00EF6719"/>
    <w:rsid w:val="00F01950"/>
    <w:rsid w:val="00F01B21"/>
    <w:rsid w:val="00F023CA"/>
    <w:rsid w:val="00F04938"/>
    <w:rsid w:val="00F05CFC"/>
    <w:rsid w:val="00F10EC0"/>
    <w:rsid w:val="00F131D4"/>
    <w:rsid w:val="00F13E5C"/>
    <w:rsid w:val="00F14106"/>
    <w:rsid w:val="00F1652C"/>
    <w:rsid w:val="00F200DD"/>
    <w:rsid w:val="00F219A0"/>
    <w:rsid w:val="00F22B9A"/>
    <w:rsid w:val="00F244A0"/>
    <w:rsid w:val="00F244D1"/>
    <w:rsid w:val="00F2686A"/>
    <w:rsid w:val="00F26F4C"/>
    <w:rsid w:val="00F30105"/>
    <w:rsid w:val="00F30DA3"/>
    <w:rsid w:val="00F352B4"/>
    <w:rsid w:val="00F35E46"/>
    <w:rsid w:val="00F36301"/>
    <w:rsid w:val="00F373C2"/>
    <w:rsid w:val="00F440C7"/>
    <w:rsid w:val="00F44BAD"/>
    <w:rsid w:val="00F4598B"/>
    <w:rsid w:val="00F504E7"/>
    <w:rsid w:val="00F50A1C"/>
    <w:rsid w:val="00F5397C"/>
    <w:rsid w:val="00F54C3C"/>
    <w:rsid w:val="00F56239"/>
    <w:rsid w:val="00F639DB"/>
    <w:rsid w:val="00F64E8B"/>
    <w:rsid w:val="00F67287"/>
    <w:rsid w:val="00F67F3C"/>
    <w:rsid w:val="00F709A8"/>
    <w:rsid w:val="00F71564"/>
    <w:rsid w:val="00F7190C"/>
    <w:rsid w:val="00F71F37"/>
    <w:rsid w:val="00F73F95"/>
    <w:rsid w:val="00F753BA"/>
    <w:rsid w:val="00F76AE0"/>
    <w:rsid w:val="00F774F7"/>
    <w:rsid w:val="00F778A5"/>
    <w:rsid w:val="00F80CDA"/>
    <w:rsid w:val="00F8201C"/>
    <w:rsid w:val="00F8325A"/>
    <w:rsid w:val="00F8465C"/>
    <w:rsid w:val="00F84AF7"/>
    <w:rsid w:val="00F87A99"/>
    <w:rsid w:val="00F908FD"/>
    <w:rsid w:val="00F90E89"/>
    <w:rsid w:val="00F93556"/>
    <w:rsid w:val="00F9367B"/>
    <w:rsid w:val="00F939EC"/>
    <w:rsid w:val="00F9440D"/>
    <w:rsid w:val="00F96C9F"/>
    <w:rsid w:val="00FA47F3"/>
    <w:rsid w:val="00FA4BC5"/>
    <w:rsid w:val="00FB214C"/>
    <w:rsid w:val="00FB3C2A"/>
    <w:rsid w:val="00FB5486"/>
    <w:rsid w:val="00FC06E5"/>
    <w:rsid w:val="00FC345B"/>
    <w:rsid w:val="00FC4DFA"/>
    <w:rsid w:val="00FC6916"/>
    <w:rsid w:val="00FD137B"/>
    <w:rsid w:val="00FD2567"/>
    <w:rsid w:val="00FD3DB7"/>
    <w:rsid w:val="00FD61DE"/>
    <w:rsid w:val="00FD65DC"/>
    <w:rsid w:val="00FD6D47"/>
    <w:rsid w:val="00FE43DB"/>
    <w:rsid w:val="00FE70D1"/>
    <w:rsid w:val="00FF32BC"/>
    <w:rsid w:val="00FF3C88"/>
    <w:rsid w:val="00FF7D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8"/>
        <o:r id="V:Rule2" type="connector" idref="#AutoShape 7"/>
        <o:r id="V:Rule3"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6B"/>
  </w:style>
  <w:style w:type="paragraph" w:styleId="Ttulo1">
    <w:name w:val="heading 1"/>
    <w:basedOn w:val="Normal"/>
    <w:next w:val="Normal"/>
    <w:link w:val="Ttulo1Char"/>
    <w:uiPriority w:val="9"/>
    <w:qFormat/>
    <w:rsid w:val="00310447"/>
    <w:pPr>
      <w:spacing w:after="120"/>
      <w:jc w:val="both"/>
      <w:outlineLvl w:val="0"/>
    </w:pPr>
    <w:rPr>
      <w:rFonts w:ascii="Tahoma" w:hAnsi="Tahoma" w:cs="Tahoma"/>
      <w:b/>
      <w:color w:val="002060"/>
      <w:sz w:val="24"/>
      <w:szCs w:val="24"/>
    </w:rPr>
  </w:style>
  <w:style w:type="paragraph" w:styleId="Ttulo2">
    <w:name w:val="heading 2"/>
    <w:basedOn w:val="Normal"/>
    <w:next w:val="Normal"/>
    <w:link w:val="Ttulo2Char"/>
    <w:uiPriority w:val="9"/>
    <w:unhideWhenUsed/>
    <w:qFormat/>
    <w:rsid w:val="00F440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6AA3"/>
    <w:pPr>
      <w:ind w:left="720"/>
      <w:contextualSpacing/>
    </w:pPr>
  </w:style>
  <w:style w:type="paragraph" w:styleId="Cabealho">
    <w:name w:val="header"/>
    <w:basedOn w:val="Normal"/>
    <w:link w:val="CabealhoChar"/>
    <w:uiPriority w:val="99"/>
    <w:unhideWhenUsed/>
    <w:rsid w:val="00D8719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7192"/>
  </w:style>
  <w:style w:type="paragraph" w:styleId="Rodap">
    <w:name w:val="footer"/>
    <w:basedOn w:val="Normal"/>
    <w:link w:val="RodapChar"/>
    <w:uiPriority w:val="99"/>
    <w:unhideWhenUsed/>
    <w:rsid w:val="00D87192"/>
    <w:pPr>
      <w:tabs>
        <w:tab w:val="center" w:pos="4252"/>
        <w:tab w:val="right" w:pos="8504"/>
      </w:tabs>
      <w:spacing w:after="0" w:line="240" w:lineRule="auto"/>
    </w:pPr>
  </w:style>
  <w:style w:type="character" w:customStyle="1" w:styleId="RodapChar">
    <w:name w:val="Rodapé Char"/>
    <w:basedOn w:val="Fontepargpadro"/>
    <w:link w:val="Rodap"/>
    <w:uiPriority w:val="99"/>
    <w:rsid w:val="00D87192"/>
  </w:style>
  <w:style w:type="paragraph" w:styleId="Sumrio1">
    <w:name w:val="toc 1"/>
    <w:basedOn w:val="Normal"/>
    <w:next w:val="Normal"/>
    <w:autoRedefine/>
    <w:uiPriority w:val="39"/>
    <w:unhideWhenUsed/>
    <w:rsid w:val="00BC65D0"/>
    <w:pPr>
      <w:spacing w:before="120" w:after="120"/>
    </w:pPr>
    <w:rPr>
      <w:b/>
      <w:bCs/>
      <w:caps/>
      <w:sz w:val="20"/>
      <w:szCs w:val="20"/>
    </w:rPr>
  </w:style>
  <w:style w:type="character" w:styleId="Hyperlink">
    <w:name w:val="Hyperlink"/>
    <w:basedOn w:val="Fontepargpadro"/>
    <w:uiPriority w:val="99"/>
    <w:unhideWhenUsed/>
    <w:rsid w:val="001826D8"/>
    <w:rPr>
      <w:color w:val="0000FF" w:themeColor="hyperlink"/>
      <w:u w:val="single"/>
    </w:rPr>
  </w:style>
  <w:style w:type="paragraph" w:styleId="Textodebalo">
    <w:name w:val="Balloon Text"/>
    <w:basedOn w:val="Normal"/>
    <w:link w:val="TextodebaloChar"/>
    <w:uiPriority w:val="99"/>
    <w:semiHidden/>
    <w:unhideWhenUsed/>
    <w:rsid w:val="005B78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782C"/>
    <w:rPr>
      <w:rFonts w:ascii="Tahoma" w:hAnsi="Tahoma" w:cs="Tahoma"/>
      <w:sz w:val="16"/>
      <w:szCs w:val="16"/>
    </w:rPr>
  </w:style>
  <w:style w:type="paragraph" w:styleId="Sumrio2">
    <w:name w:val="toc 2"/>
    <w:basedOn w:val="Normal"/>
    <w:next w:val="Normal"/>
    <w:autoRedefine/>
    <w:uiPriority w:val="39"/>
    <w:unhideWhenUsed/>
    <w:rsid w:val="00EF6719"/>
    <w:pPr>
      <w:spacing w:after="0"/>
      <w:ind w:left="220"/>
    </w:pPr>
    <w:rPr>
      <w:smallCaps/>
      <w:sz w:val="20"/>
      <w:szCs w:val="20"/>
    </w:rPr>
  </w:style>
  <w:style w:type="paragraph" w:styleId="Sumrio3">
    <w:name w:val="toc 3"/>
    <w:basedOn w:val="Normal"/>
    <w:next w:val="Normal"/>
    <w:autoRedefine/>
    <w:uiPriority w:val="39"/>
    <w:unhideWhenUsed/>
    <w:rsid w:val="007B14C0"/>
    <w:pPr>
      <w:tabs>
        <w:tab w:val="right" w:leader="dot" w:pos="7360"/>
      </w:tabs>
      <w:spacing w:after="0"/>
      <w:ind w:left="440"/>
    </w:pPr>
    <w:rPr>
      <w:rFonts w:ascii="Tahoma" w:hAnsi="Tahoma" w:cs="Tahoma"/>
      <w:iCs/>
      <w:noProof/>
      <w:sz w:val="20"/>
      <w:szCs w:val="20"/>
    </w:rPr>
  </w:style>
  <w:style w:type="paragraph" w:styleId="Textodenotaderodap">
    <w:name w:val="footnote text"/>
    <w:basedOn w:val="Normal"/>
    <w:link w:val="TextodenotaderodapChar"/>
    <w:uiPriority w:val="99"/>
    <w:semiHidden/>
    <w:unhideWhenUsed/>
    <w:rsid w:val="00B316F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316FD"/>
    <w:rPr>
      <w:sz w:val="20"/>
      <w:szCs w:val="20"/>
    </w:rPr>
  </w:style>
  <w:style w:type="character" w:styleId="Refdenotaderodap">
    <w:name w:val="footnote reference"/>
    <w:basedOn w:val="Fontepargpadro"/>
    <w:uiPriority w:val="99"/>
    <w:semiHidden/>
    <w:unhideWhenUsed/>
    <w:rsid w:val="00B316FD"/>
    <w:rPr>
      <w:vertAlign w:val="superscript"/>
    </w:rPr>
  </w:style>
  <w:style w:type="paragraph" w:customStyle="1" w:styleId="Default">
    <w:name w:val="Default"/>
    <w:rsid w:val="00CB26E0"/>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310447"/>
    <w:rPr>
      <w:rFonts w:ascii="Tahoma" w:hAnsi="Tahoma" w:cs="Tahoma"/>
      <w:b/>
      <w:color w:val="002060"/>
      <w:sz w:val="24"/>
      <w:szCs w:val="24"/>
    </w:rPr>
  </w:style>
  <w:style w:type="paragraph" w:styleId="Subttulo">
    <w:name w:val="Subtitle"/>
    <w:basedOn w:val="Normal"/>
    <w:next w:val="Normal"/>
    <w:link w:val="SubttuloChar"/>
    <w:uiPriority w:val="11"/>
    <w:qFormat/>
    <w:rsid w:val="00310447"/>
    <w:pPr>
      <w:spacing w:after="120"/>
      <w:jc w:val="both"/>
      <w:outlineLvl w:val="1"/>
    </w:pPr>
    <w:rPr>
      <w:rFonts w:ascii="Tahoma" w:hAnsi="Tahoma" w:cs="Tahoma"/>
      <w:b/>
    </w:rPr>
  </w:style>
  <w:style w:type="character" w:customStyle="1" w:styleId="SubttuloChar">
    <w:name w:val="Subtítulo Char"/>
    <w:basedOn w:val="Fontepargpadro"/>
    <w:link w:val="Subttulo"/>
    <w:uiPriority w:val="11"/>
    <w:rsid w:val="00310447"/>
    <w:rPr>
      <w:rFonts w:ascii="Tahoma" w:hAnsi="Tahoma" w:cs="Tahoma"/>
      <w:b/>
    </w:rPr>
  </w:style>
  <w:style w:type="character" w:styleId="nfaseSutil">
    <w:name w:val="Subtle Emphasis"/>
    <w:aliases w:val="Subtítulo 2"/>
    <w:uiPriority w:val="19"/>
    <w:qFormat/>
    <w:rsid w:val="00251F7D"/>
    <w:rPr>
      <w:rFonts w:ascii="Tahoma" w:hAnsi="Tahoma" w:cs="Tahoma"/>
    </w:rPr>
  </w:style>
  <w:style w:type="paragraph" w:styleId="CabealhodoSumrio">
    <w:name w:val="TOC Heading"/>
    <w:basedOn w:val="Ttulo1"/>
    <w:next w:val="Normal"/>
    <w:uiPriority w:val="39"/>
    <w:unhideWhenUsed/>
    <w:qFormat/>
    <w:rsid w:val="00E4782B"/>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4">
    <w:name w:val="toc 4"/>
    <w:basedOn w:val="Normal"/>
    <w:next w:val="Normal"/>
    <w:autoRedefine/>
    <w:uiPriority w:val="39"/>
    <w:unhideWhenUsed/>
    <w:rsid w:val="00E4782B"/>
    <w:pPr>
      <w:spacing w:after="0"/>
      <w:ind w:left="660"/>
    </w:pPr>
    <w:rPr>
      <w:sz w:val="18"/>
      <w:szCs w:val="18"/>
    </w:rPr>
  </w:style>
  <w:style w:type="paragraph" w:styleId="Sumrio5">
    <w:name w:val="toc 5"/>
    <w:basedOn w:val="Normal"/>
    <w:next w:val="Normal"/>
    <w:autoRedefine/>
    <w:uiPriority w:val="39"/>
    <w:unhideWhenUsed/>
    <w:rsid w:val="00E4782B"/>
    <w:pPr>
      <w:spacing w:after="0"/>
      <w:ind w:left="880"/>
    </w:pPr>
    <w:rPr>
      <w:sz w:val="18"/>
      <w:szCs w:val="18"/>
    </w:rPr>
  </w:style>
  <w:style w:type="paragraph" w:styleId="Sumrio6">
    <w:name w:val="toc 6"/>
    <w:basedOn w:val="Normal"/>
    <w:next w:val="Normal"/>
    <w:autoRedefine/>
    <w:uiPriority w:val="39"/>
    <w:unhideWhenUsed/>
    <w:rsid w:val="00E4782B"/>
    <w:pPr>
      <w:spacing w:after="0"/>
      <w:ind w:left="1100"/>
    </w:pPr>
    <w:rPr>
      <w:sz w:val="18"/>
      <w:szCs w:val="18"/>
    </w:rPr>
  </w:style>
  <w:style w:type="paragraph" w:styleId="Sumrio7">
    <w:name w:val="toc 7"/>
    <w:basedOn w:val="Normal"/>
    <w:next w:val="Normal"/>
    <w:autoRedefine/>
    <w:uiPriority w:val="39"/>
    <w:unhideWhenUsed/>
    <w:rsid w:val="00E4782B"/>
    <w:pPr>
      <w:spacing w:after="0"/>
      <w:ind w:left="1320"/>
    </w:pPr>
    <w:rPr>
      <w:sz w:val="18"/>
      <w:szCs w:val="18"/>
    </w:rPr>
  </w:style>
  <w:style w:type="paragraph" w:styleId="Sumrio8">
    <w:name w:val="toc 8"/>
    <w:basedOn w:val="Normal"/>
    <w:next w:val="Normal"/>
    <w:autoRedefine/>
    <w:uiPriority w:val="39"/>
    <w:unhideWhenUsed/>
    <w:rsid w:val="00E4782B"/>
    <w:pPr>
      <w:spacing w:after="0"/>
      <w:ind w:left="1540"/>
    </w:pPr>
    <w:rPr>
      <w:sz w:val="18"/>
      <w:szCs w:val="18"/>
    </w:rPr>
  </w:style>
  <w:style w:type="paragraph" w:styleId="Sumrio9">
    <w:name w:val="toc 9"/>
    <w:basedOn w:val="Normal"/>
    <w:next w:val="Normal"/>
    <w:autoRedefine/>
    <w:uiPriority w:val="39"/>
    <w:unhideWhenUsed/>
    <w:rsid w:val="00E4782B"/>
    <w:pPr>
      <w:spacing w:after="0"/>
      <w:ind w:left="1760"/>
    </w:pPr>
    <w:rPr>
      <w:sz w:val="18"/>
      <w:szCs w:val="18"/>
    </w:rPr>
  </w:style>
  <w:style w:type="character" w:customStyle="1" w:styleId="Ttulo2Char">
    <w:name w:val="Título 2 Char"/>
    <w:basedOn w:val="Fontepargpadro"/>
    <w:link w:val="Ttulo2"/>
    <w:uiPriority w:val="9"/>
    <w:rsid w:val="00F440C7"/>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635573172">
      <w:bodyDiv w:val="1"/>
      <w:marLeft w:val="0"/>
      <w:marRight w:val="0"/>
      <w:marTop w:val="0"/>
      <w:marBottom w:val="0"/>
      <w:divBdr>
        <w:top w:val="none" w:sz="0" w:space="0" w:color="auto"/>
        <w:left w:val="none" w:sz="0" w:space="0" w:color="auto"/>
        <w:bottom w:val="none" w:sz="0" w:space="0" w:color="auto"/>
        <w:right w:val="none" w:sz="0" w:space="0" w:color="auto"/>
      </w:divBdr>
    </w:div>
    <w:div w:id="1298416986">
      <w:bodyDiv w:val="1"/>
      <w:marLeft w:val="0"/>
      <w:marRight w:val="0"/>
      <w:marTop w:val="0"/>
      <w:marBottom w:val="0"/>
      <w:divBdr>
        <w:top w:val="none" w:sz="0" w:space="0" w:color="auto"/>
        <w:left w:val="none" w:sz="0" w:space="0" w:color="auto"/>
        <w:bottom w:val="none" w:sz="0" w:space="0" w:color="auto"/>
        <w:right w:val="none" w:sz="0" w:space="0" w:color="auto"/>
      </w:divBdr>
    </w:div>
    <w:div w:id="1431899812">
      <w:bodyDiv w:val="1"/>
      <w:marLeft w:val="0"/>
      <w:marRight w:val="0"/>
      <w:marTop w:val="0"/>
      <w:marBottom w:val="0"/>
      <w:divBdr>
        <w:top w:val="none" w:sz="0" w:space="0" w:color="auto"/>
        <w:left w:val="none" w:sz="0" w:space="0" w:color="auto"/>
        <w:bottom w:val="none" w:sz="0" w:space="0" w:color="auto"/>
        <w:right w:val="none" w:sz="0" w:space="0" w:color="auto"/>
      </w:divBdr>
    </w:div>
    <w:div w:id="15916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image" Target="media/image9.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oleObject" Target="embeddings/oleObject15.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image" Target="media/image8.gif"/><Relationship Id="rId33" Type="http://schemas.openxmlformats.org/officeDocument/2006/relationships/oleObject" Target="embeddings/oleObject14.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image" Target="media/image4.e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2.png"/><Relationship Id="rId37" Type="http://schemas.openxmlformats.org/officeDocument/2006/relationships/image" Target="media/image13.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image" Target="media/image7.emf"/><Relationship Id="rId28" Type="http://schemas.openxmlformats.org/officeDocument/2006/relationships/image" Target="media/image11.emf"/><Relationship Id="rId36" Type="http://schemas.openxmlformats.org/officeDocument/2006/relationships/oleObject" Target="embeddings/oleObject17.bin"/><Relationship Id="rId10" Type="http://schemas.openxmlformats.org/officeDocument/2006/relationships/image" Target="media/image2.emf"/><Relationship Id="rId19" Type="http://schemas.openxmlformats.org/officeDocument/2006/relationships/image" Target="media/image3.emf"/><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image" Target="media/image6.emf"/><Relationship Id="rId27" Type="http://schemas.openxmlformats.org/officeDocument/2006/relationships/image" Target="media/image10.emf"/><Relationship Id="rId30" Type="http://schemas.openxmlformats.org/officeDocument/2006/relationships/oleObject" Target="embeddings/oleObject12.bin"/><Relationship Id="rId35" Type="http://schemas.openxmlformats.org/officeDocument/2006/relationships/oleObject" Target="embeddings/oleObject16.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FD085-2188-40A6-B3D0-1DB29136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10223</Words>
  <Characters>55205</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Lucimar</dc:creator>
  <cp:lastModifiedBy>user</cp:lastModifiedBy>
  <cp:revision>2</cp:revision>
  <cp:lastPrinted>2018-09-29T13:30:00Z</cp:lastPrinted>
  <dcterms:created xsi:type="dcterms:W3CDTF">2019-01-10T12:17:00Z</dcterms:created>
  <dcterms:modified xsi:type="dcterms:W3CDTF">2019-01-10T12:17:00Z</dcterms:modified>
</cp:coreProperties>
</file>